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EAC" w:rsidRPr="005F64AB" w:rsidRDefault="007F1EAC" w:rsidP="007F1EAC">
      <w:pPr>
        <w:spacing w:after="0" w:line="240" w:lineRule="auto"/>
        <w:outlineLvl w:val="0"/>
        <w:rPr>
          <w:rFonts w:ascii="AvenirNextCyr-Bold" w:eastAsia="Times New Roman" w:hAnsi="AvenirNextCyr-Bold" w:cs="Times New Roman"/>
          <w:b/>
          <w:bCs/>
          <w:color w:val="000000"/>
          <w:kern w:val="36"/>
          <w:sz w:val="36"/>
          <w:szCs w:val="36"/>
          <w:u w:val="single"/>
          <w:lang w:eastAsia="uk-UA"/>
        </w:rPr>
      </w:pPr>
      <w:r w:rsidRPr="005F64AB">
        <w:rPr>
          <w:rFonts w:ascii="AvenirNextCyr-Bold" w:eastAsia="Times New Roman" w:hAnsi="AvenirNextCyr-Bold" w:cs="Times New Roman"/>
          <w:b/>
          <w:bCs/>
          <w:color w:val="000000"/>
          <w:kern w:val="36"/>
          <w:sz w:val="36"/>
          <w:szCs w:val="36"/>
          <w:u w:val="single"/>
          <w:lang w:eastAsia="uk-UA"/>
        </w:rPr>
        <w:t>Як військовослужбовцю перевестися з однієї частини чи місцевості в іншу</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bookmarkStart w:id="0" w:name="_GoBack"/>
      <w:bookmarkEnd w:id="0"/>
      <w:r w:rsidRPr="007F1EAC">
        <w:rPr>
          <w:rFonts w:ascii="AvenirNextCyr-Bold" w:eastAsia="Times New Roman" w:hAnsi="AvenirNextCyr-Bold" w:cs="Times New Roman"/>
          <w:b/>
          <w:bCs/>
          <w:color w:val="000000"/>
          <w:sz w:val="29"/>
          <w:szCs w:val="29"/>
          <w:lang w:eastAsia="uk-UA"/>
        </w:rPr>
        <w:t xml:space="preserve">Правове роз’яснення підготував Андрій </w:t>
      </w:r>
      <w:proofErr w:type="spellStart"/>
      <w:r w:rsidRPr="007F1EAC">
        <w:rPr>
          <w:rFonts w:ascii="AvenirNextCyr-Bold" w:eastAsia="Times New Roman" w:hAnsi="AvenirNextCyr-Bold" w:cs="Times New Roman"/>
          <w:b/>
          <w:bCs/>
          <w:color w:val="000000"/>
          <w:sz w:val="29"/>
          <w:szCs w:val="29"/>
          <w:lang w:eastAsia="uk-UA"/>
        </w:rPr>
        <w:t>Мицак</w:t>
      </w:r>
      <w:proofErr w:type="spellEnd"/>
      <w:r w:rsidRPr="007F1EAC">
        <w:rPr>
          <w:rFonts w:ascii="AvenirNextCyr-Bold" w:eastAsia="Times New Roman" w:hAnsi="AvenirNextCyr-Bold" w:cs="Times New Roman"/>
          <w:b/>
          <w:bCs/>
          <w:color w:val="000000"/>
          <w:sz w:val="29"/>
          <w:szCs w:val="29"/>
          <w:lang w:eastAsia="uk-UA"/>
        </w:rPr>
        <w:t>, юрист </w:t>
      </w:r>
      <w:hyperlink r:id="rId6" w:history="1">
        <w:r w:rsidRPr="00430738">
          <w:rPr>
            <w:rFonts w:ascii="AvenirNextCyr-Bold" w:eastAsia="Times New Roman" w:hAnsi="AvenirNextCyr-Bold" w:cs="Times New Roman"/>
            <w:b/>
            <w:bCs/>
            <w:sz w:val="29"/>
            <w:szCs w:val="29"/>
            <w:lang w:eastAsia="uk-UA"/>
          </w:rPr>
          <w:t>ГО «Молодіжний ініціативний центр»</w:t>
        </w:r>
      </w:hyperlink>
      <w:r w:rsidRPr="00430738">
        <w:rPr>
          <w:rFonts w:ascii="AvenirNextCyr-Bold" w:eastAsia="Times New Roman" w:hAnsi="AvenirNextCyr-Bold" w:cs="Times New Roman"/>
          <w:b/>
          <w:bCs/>
          <w:sz w:val="29"/>
          <w:szCs w:val="29"/>
          <w:lang w:eastAsia="uk-UA"/>
        </w:rPr>
        <w:t>.</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Військовослужбовець може клопотати про переведення з однієї частини/місцевості в іншу, зокрема за місцем проживання за наступних умов: </w:t>
      </w:r>
    </w:p>
    <w:p w:rsidR="007F1EAC" w:rsidRPr="007F1EAC" w:rsidRDefault="007F1EAC" w:rsidP="007F1EAC">
      <w:pPr>
        <w:numPr>
          <w:ilvl w:val="0"/>
          <w:numId w:val="1"/>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за станом здоров’я згідно з висновком військової лікарської комісії; </w:t>
      </w:r>
    </w:p>
    <w:p w:rsidR="007F1EAC" w:rsidRPr="007F1EAC" w:rsidRDefault="007F1EAC" w:rsidP="007F1EAC">
      <w:pPr>
        <w:numPr>
          <w:ilvl w:val="0"/>
          <w:numId w:val="1"/>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за сімейними обставинами; </w:t>
      </w:r>
    </w:p>
    <w:p w:rsidR="007F1EAC" w:rsidRPr="007F1EAC" w:rsidRDefault="007F1EAC" w:rsidP="007F1EAC">
      <w:pPr>
        <w:numPr>
          <w:ilvl w:val="0"/>
          <w:numId w:val="1"/>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у разі службової необхідності; </w:t>
      </w:r>
    </w:p>
    <w:p w:rsidR="007F1EAC" w:rsidRPr="007F1EAC" w:rsidRDefault="007F1EAC" w:rsidP="007F1EAC">
      <w:pPr>
        <w:numPr>
          <w:ilvl w:val="0"/>
          <w:numId w:val="1"/>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у разі проведення організаційних заходів; </w:t>
      </w:r>
    </w:p>
    <w:p w:rsidR="007F1EAC" w:rsidRPr="007F1EAC" w:rsidRDefault="007F1EAC" w:rsidP="007F1EAC">
      <w:pPr>
        <w:numPr>
          <w:ilvl w:val="0"/>
          <w:numId w:val="1"/>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за висновком службової характеристики.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Щоб перейти в іншу військову частину, спочатку необхідно отримати </w:t>
      </w:r>
      <w:proofErr w:type="spellStart"/>
      <w:r w:rsidRPr="007F1EAC">
        <w:rPr>
          <w:rFonts w:ascii="AvenirNextCyr-Bold" w:eastAsia="Times New Roman" w:hAnsi="AvenirNextCyr-Bold" w:cs="Times New Roman"/>
          <w:b/>
          <w:bCs/>
          <w:color w:val="000000"/>
          <w:sz w:val="29"/>
          <w:szCs w:val="29"/>
          <w:lang w:eastAsia="uk-UA"/>
        </w:rPr>
        <w:t>відношення</w:t>
      </w:r>
      <w:r w:rsidRPr="007F1EAC">
        <w:rPr>
          <w:rFonts w:ascii="AvenirNextCyr-Regular" w:eastAsia="Times New Roman" w:hAnsi="AvenirNextCyr-Regular" w:cs="Times New Roman"/>
          <w:color w:val="000000"/>
          <w:sz w:val="29"/>
          <w:szCs w:val="29"/>
          <w:lang w:eastAsia="uk-UA"/>
        </w:rPr>
        <w:t>.Це</w:t>
      </w:r>
      <w:proofErr w:type="spellEnd"/>
      <w:r w:rsidRPr="007F1EAC">
        <w:rPr>
          <w:rFonts w:ascii="AvenirNextCyr-Regular" w:eastAsia="Times New Roman" w:hAnsi="AvenirNextCyr-Regular" w:cs="Times New Roman"/>
          <w:color w:val="000000"/>
          <w:sz w:val="29"/>
          <w:szCs w:val="29"/>
          <w:lang w:eastAsia="uk-UA"/>
        </w:rPr>
        <w:t xml:space="preserve"> письмовий документ, який видає командир військового формування, до якого військовослужбовець має бажання бути переміщеним для подальшого проходження військової служби. У відношенні відповідний командир підтверджує наявність вакантної посади, що відповідає військово-обліковій спеціальності військовослужбовця, та висловлює свою позицію, що він не заперечує, аби відповідний військовослужбовець був переміщений до ввіреної йому військової частини. Документ видається з тієї військової частини, куди людину мають намір прийняти, після чого можна подавати </w:t>
      </w:r>
      <w:r w:rsidRPr="007F1EAC">
        <w:rPr>
          <w:rFonts w:ascii="AvenirNextCyr-Bold" w:eastAsia="Times New Roman" w:hAnsi="AvenirNextCyr-Bold" w:cs="Times New Roman"/>
          <w:b/>
          <w:bCs/>
          <w:color w:val="000000"/>
          <w:sz w:val="29"/>
          <w:szCs w:val="29"/>
          <w:lang w:eastAsia="uk-UA"/>
        </w:rPr>
        <w:t>рапорт</w:t>
      </w:r>
      <w:r w:rsidRPr="007F1EAC">
        <w:rPr>
          <w:rFonts w:ascii="AvenirNextCyr-Regular" w:eastAsia="Times New Roman" w:hAnsi="AvenirNextCyr-Regular" w:cs="Times New Roman"/>
          <w:color w:val="000000"/>
          <w:sz w:val="29"/>
          <w:szCs w:val="29"/>
          <w:lang w:eastAsia="uk-UA"/>
        </w:rPr>
        <w:t> на ім’я свого командира.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Командування </w:t>
      </w:r>
      <w:r w:rsidRPr="007F1EAC">
        <w:rPr>
          <w:rFonts w:ascii="AvenirNextCyr-Bold" w:eastAsia="Times New Roman" w:hAnsi="AvenirNextCyr-Bold" w:cs="Times New Roman"/>
          <w:b/>
          <w:bCs/>
          <w:color w:val="000000"/>
          <w:sz w:val="29"/>
          <w:szCs w:val="29"/>
          <w:lang w:eastAsia="uk-UA"/>
        </w:rPr>
        <w:t>зобов’язане</w:t>
      </w:r>
      <w:r w:rsidRPr="007F1EAC">
        <w:rPr>
          <w:rFonts w:ascii="AvenirNextCyr-Regular" w:eastAsia="Times New Roman" w:hAnsi="AvenirNextCyr-Regular" w:cs="Times New Roman"/>
          <w:color w:val="000000"/>
          <w:sz w:val="29"/>
          <w:szCs w:val="29"/>
          <w:lang w:eastAsia="uk-UA"/>
        </w:rPr>
        <w:t> перевести (перемістити) військовослужбовця в іншу місцевість/частину в наступних випадках: </w:t>
      </w:r>
    </w:p>
    <w:p w:rsidR="007F1EAC" w:rsidRPr="007F1EAC" w:rsidRDefault="007F1EAC" w:rsidP="007F1EAC">
      <w:pPr>
        <w:numPr>
          <w:ilvl w:val="0"/>
          <w:numId w:val="2"/>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стан здоров’я військовослужбовця або за стан здоров’я членів його сім’ї (за рапортом та за наявності відповідного медичного висновку); </w:t>
      </w:r>
    </w:p>
    <w:p w:rsidR="007F1EAC" w:rsidRPr="007F1EAC" w:rsidRDefault="007F1EAC" w:rsidP="007F1EAC">
      <w:pPr>
        <w:numPr>
          <w:ilvl w:val="0"/>
          <w:numId w:val="2"/>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потреба догляду за непрацездатними чи хворими батьками, дружиною (чоловіком) чи особами, які виховували його з дитинства замість батьків і були визнані опікунами (за рапортом та документами, які підтверджують потребу в постійному сторонньому догляді за ними); </w:t>
      </w:r>
    </w:p>
    <w:p w:rsidR="007F1EAC" w:rsidRPr="007F1EAC" w:rsidRDefault="007F1EAC" w:rsidP="007F1EAC">
      <w:pPr>
        <w:numPr>
          <w:ilvl w:val="0"/>
          <w:numId w:val="2"/>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переміщення дружини (чоловіка) військовослужбовця, які проходять військову службу за контрактом, на нове місце служби в порядку, визначеному в пункті 114 </w:t>
      </w:r>
      <w:hyperlink r:id="rId7" w:history="1">
        <w:r w:rsidRPr="007F1EAC">
          <w:rPr>
            <w:rFonts w:ascii="AvenirNextCyr-Regular" w:eastAsia="Times New Roman" w:hAnsi="AvenirNextCyr-Regular" w:cs="Times New Roman"/>
            <w:color w:val="329474"/>
            <w:sz w:val="29"/>
            <w:szCs w:val="29"/>
            <w:lang w:eastAsia="uk-UA"/>
          </w:rPr>
          <w:t>Положення про проходження громадянами України військової служби у Збройних Силах України</w:t>
        </w:r>
      </w:hyperlink>
      <w:r w:rsidRPr="007F1EAC">
        <w:rPr>
          <w:rFonts w:ascii="AvenirNextCyr-Regular" w:eastAsia="Times New Roman" w:hAnsi="AvenirNextCyr-Regular" w:cs="Times New Roman"/>
          <w:color w:val="000000"/>
          <w:sz w:val="29"/>
          <w:szCs w:val="29"/>
          <w:lang w:eastAsia="uk-UA"/>
        </w:rPr>
        <w:t>.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Bold" w:eastAsia="Times New Roman" w:hAnsi="AvenirNextCyr-Bold" w:cs="Times New Roman"/>
          <w:b/>
          <w:bCs/>
          <w:color w:val="000000"/>
          <w:sz w:val="29"/>
          <w:szCs w:val="29"/>
          <w:lang w:eastAsia="uk-UA"/>
        </w:rPr>
        <w:t>Рішення</w:t>
      </w:r>
      <w:r w:rsidRPr="007F1EAC">
        <w:rPr>
          <w:rFonts w:ascii="AvenirNextCyr-Regular" w:eastAsia="Times New Roman" w:hAnsi="AvenirNextCyr-Regular" w:cs="Times New Roman"/>
          <w:color w:val="000000"/>
          <w:sz w:val="29"/>
          <w:szCs w:val="29"/>
          <w:lang w:eastAsia="uk-UA"/>
        </w:rPr>
        <w:t> про переведення військовослужбовця приймає відповідний командир. При цьому дозвіл на переміщення — це право, а не обов’язок командира.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Bold" w:eastAsia="Times New Roman" w:hAnsi="AvenirNextCyr-Bold" w:cs="Times New Roman"/>
          <w:b/>
          <w:bCs/>
          <w:color w:val="000000"/>
          <w:sz w:val="29"/>
          <w:szCs w:val="29"/>
          <w:lang w:eastAsia="uk-UA"/>
        </w:rPr>
        <w:t>Є виняток</w:t>
      </w:r>
      <w:r w:rsidRPr="007F1EAC">
        <w:rPr>
          <w:rFonts w:ascii="AvenirNextCyr-Regular" w:eastAsia="Times New Roman" w:hAnsi="AvenirNextCyr-Regular" w:cs="Times New Roman"/>
          <w:color w:val="000000"/>
          <w:sz w:val="29"/>
          <w:szCs w:val="29"/>
          <w:lang w:eastAsia="uk-UA"/>
        </w:rPr>
        <w:t>: військового мусять перевести в інший підрозділ, якщо є висновок військової лікарської комісії щодо обмеженої придатності до служби.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Для переведення військовослужбовець має подати такі </w:t>
      </w:r>
      <w:r w:rsidRPr="007F1EAC">
        <w:rPr>
          <w:rFonts w:ascii="AvenirNextCyr-Bold" w:eastAsia="Times New Roman" w:hAnsi="AvenirNextCyr-Bold" w:cs="Times New Roman"/>
          <w:b/>
          <w:bCs/>
          <w:color w:val="000000"/>
          <w:sz w:val="29"/>
          <w:szCs w:val="29"/>
          <w:lang w:eastAsia="uk-UA"/>
        </w:rPr>
        <w:t>документи</w:t>
      </w:r>
      <w:r w:rsidRPr="007F1EAC">
        <w:rPr>
          <w:rFonts w:ascii="AvenirNextCyr-Regular" w:eastAsia="Times New Roman" w:hAnsi="AvenirNextCyr-Regular" w:cs="Times New Roman"/>
          <w:color w:val="000000"/>
          <w:sz w:val="29"/>
          <w:szCs w:val="29"/>
          <w:lang w:eastAsia="uk-UA"/>
        </w:rPr>
        <w:t>: </w:t>
      </w:r>
    </w:p>
    <w:p w:rsidR="007F1EAC" w:rsidRPr="007F1EAC" w:rsidRDefault="007F1EAC" w:rsidP="007F1EAC">
      <w:pPr>
        <w:numPr>
          <w:ilvl w:val="0"/>
          <w:numId w:val="3"/>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рапорт; </w:t>
      </w:r>
    </w:p>
    <w:p w:rsidR="007F1EAC" w:rsidRPr="007F1EAC" w:rsidRDefault="007F1EAC" w:rsidP="007F1EAC">
      <w:pPr>
        <w:numPr>
          <w:ilvl w:val="0"/>
          <w:numId w:val="3"/>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lastRenderedPageBreak/>
        <w:t>документи, які підтверджують підстави переведення (наприклад висновок ВЛК, медичне заключення для необхідності догляду за особою, тощо); </w:t>
      </w:r>
    </w:p>
    <w:p w:rsidR="007F1EAC" w:rsidRPr="007F1EAC" w:rsidRDefault="007F1EAC" w:rsidP="007F1EAC">
      <w:pPr>
        <w:numPr>
          <w:ilvl w:val="0"/>
          <w:numId w:val="3"/>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відношення: згоду командира частини, який приймає на військову службу.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Командир військової частини готує </w:t>
      </w:r>
      <w:r w:rsidRPr="007F1EAC">
        <w:rPr>
          <w:rFonts w:ascii="AvenirNextCyr-Bold" w:eastAsia="Times New Roman" w:hAnsi="AvenirNextCyr-Bold" w:cs="Times New Roman"/>
          <w:b/>
          <w:bCs/>
          <w:color w:val="000000"/>
          <w:sz w:val="29"/>
          <w:szCs w:val="29"/>
          <w:lang w:eastAsia="uk-UA"/>
        </w:rPr>
        <w:t>подання на переведення</w:t>
      </w:r>
      <w:r w:rsidRPr="007F1EAC">
        <w:rPr>
          <w:rFonts w:ascii="AvenirNextCyr-Regular" w:eastAsia="Times New Roman" w:hAnsi="AvenirNextCyr-Regular" w:cs="Times New Roman"/>
          <w:color w:val="000000"/>
          <w:sz w:val="29"/>
          <w:szCs w:val="29"/>
          <w:lang w:eastAsia="uk-UA"/>
        </w:rPr>
        <w:t>. І далі за результатами приймається </w:t>
      </w:r>
      <w:r w:rsidRPr="007F1EAC">
        <w:rPr>
          <w:rFonts w:ascii="AvenirNextCyr-Bold" w:eastAsia="Times New Roman" w:hAnsi="AvenirNextCyr-Bold" w:cs="Times New Roman"/>
          <w:b/>
          <w:bCs/>
          <w:color w:val="000000"/>
          <w:sz w:val="29"/>
          <w:szCs w:val="29"/>
          <w:lang w:eastAsia="uk-UA"/>
        </w:rPr>
        <w:t>рішення (наказ)</w:t>
      </w:r>
      <w:r w:rsidRPr="007F1EAC">
        <w:rPr>
          <w:rFonts w:ascii="AvenirNextCyr-Regular" w:eastAsia="Times New Roman" w:hAnsi="AvenirNextCyr-Regular" w:cs="Times New Roman"/>
          <w:color w:val="000000"/>
          <w:sz w:val="29"/>
          <w:szCs w:val="29"/>
          <w:lang w:eastAsia="uk-UA"/>
        </w:rPr>
        <w:t> військового керівника про переведення.</w:t>
      </w:r>
      <w:r w:rsidRPr="007F1EAC">
        <w:rPr>
          <w:rFonts w:ascii="AvenirNextCyr-Regular" w:eastAsia="Times New Roman" w:hAnsi="AvenirNextCyr-Regular" w:cs="Times New Roman"/>
          <w:color w:val="000000"/>
          <w:sz w:val="29"/>
          <w:szCs w:val="29"/>
          <w:lang w:eastAsia="uk-UA"/>
        </w:rPr>
        <w:br/>
        <w:t>Для отримання відношення (згоди командира військової частини в яку військовий має намір перевестися) радять звертатися напряму до командира військової частини.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Bold" w:eastAsia="Times New Roman" w:hAnsi="AvenirNextCyr-Bold" w:cs="Times New Roman"/>
          <w:b/>
          <w:bCs/>
          <w:color w:val="000000"/>
          <w:sz w:val="29"/>
          <w:szCs w:val="29"/>
          <w:lang w:eastAsia="uk-UA"/>
        </w:rPr>
        <w:t>Що може зробити військовий, якщо рапорт не погодили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У разі відмови військовий може подати </w:t>
      </w:r>
      <w:r w:rsidRPr="007F1EAC">
        <w:rPr>
          <w:rFonts w:ascii="AvenirNextCyr-Bold" w:eastAsia="Times New Roman" w:hAnsi="AvenirNextCyr-Bold" w:cs="Times New Roman"/>
          <w:b/>
          <w:bCs/>
          <w:color w:val="000000"/>
          <w:sz w:val="29"/>
          <w:szCs w:val="29"/>
          <w:lang w:eastAsia="uk-UA"/>
        </w:rPr>
        <w:t>скаргу</w:t>
      </w:r>
      <w:r w:rsidRPr="007F1EAC">
        <w:rPr>
          <w:rFonts w:ascii="AvenirNextCyr-Regular" w:eastAsia="Times New Roman" w:hAnsi="AvenirNextCyr-Regular" w:cs="Times New Roman"/>
          <w:color w:val="000000"/>
          <w:sz w:val="29"/>
          <w:szCs w:val="29"/>
          <w:lang w:eastAsia="uk-UA"/>
        </w:rPr>
        <w:t> в Міністерство оборони, Генштаб або Військову службу правопорядку у ЗСУ. Також він може подати заяву про вчинення злочину, передбаченого </w:t>
      </w:r>
      <w:hyperlink r:id="rId8" w:history="1">
        <w:r w:rsidRPr="007F1EAC">
          <w:rPr>
            <w:rFonts w:ascii="AvenirNextCyr-Regular" w:eastAsia="Times New Roman" w:hAnsi="AvenirNextCyr-Regular" w:cs="Times New Roman"/>
            <w:color w:val="329474"/>
            <w:sz w:val="29"/>
            <w:szCs w:val="29"/>
            <w:lang w:eastAsia="uk-UA"/>
          </w:rPr>
          <w:t>статтею 403 Кримінального кодексу України</w:t>
        </w:r>
      </w:hyperlink>
      <w:r w:rsidRPr="007F1EAC">
        <w:rPr>
          <w:rFonts w:ascii="AvenirNextCyr-Regular" w:eastAsia="Times New Roman" w:hAnsi="AvenirNextCyr-Regular" w:cs="Times New Roman"/>
          <w:color w:val="000000"/>
          <w:sz w:val="29"/>
          <w:szCs w:val="29"/>
          <w:lang w:eastAsia="uk-UA"/>
        </w:rPr>
        <w:t>,  невиконання наказу командира. В такому разі необхідно буде зазначити, чому на думку військового «має місце вчинення злочину його командиром, який без жодних підстав не виконує наказ (має бути вказана дата та номер наказу) про переведення військовослужбовця».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 xml:space="preserve">Вимоги у скарзі необхідно викладати докладно та зрозуміло, додатково обґрунтувавши свою позицію нормами чинного законодавства — від цього </w:t>
      </w:r>
      <w:proofErr w:type="spellStart"/>
      <w:r w:rsidRPr="007F1EAC">
        <w:rPr>
          <w:rFonts w:ascii="AvenirNextCyr-Regular" w:eastAsia="Times New Roman" w:hAnsi="AvenirNextCyr-Regular" w:cs="Times New Roman"/>
          <w:color w:val="000000"/>
          <w:sz w:val="29"/>
          <w:szCs w:val="29"/>
          <w:lang w:eastAsia="uk-UA"/>
        </w:rPr>
        <w:t>залежатиме</w:t>
      </w:r>
      <w:proofErr w:type="spellEnd"/>
      <w:r w:rsidRPr="007F1EAC">
        <w:rPr>
          <w:rFonts w:ascii="AvenirNextCyr-Regular" w:eastAsia="Times New Roman" w:hAnsi="AvenirNextCyr-Regular" w:cs="Times New Roman"/>
          <w:color w:val="000000"/>
          <w:sz w:val="29"/>
          <w:szCs w:val="29"/>
          <w:lang w:eastAsia="uk-UA"/>
        </w:rPr>
        <w:t>, наскільки успішним буде вирішення питання.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Готувати скаргу необхідно </w:t>
      </w:r>
      <w:r w:rsidRPr="007F1EAC">
        <w:rPr>
          <w:rFonts w:ascii="AvenirNextCyr-Bold" w:eastAsia="Times New Roman" w:hAnsi="AvenirNextCyr-Bold" w:cs="Times New Roman"/>
          <w:b/>
          <w:bCs/>
          <w:color w:val="000000"/>
          <w:sz w:val="29"/>
          <w:szCs w:val="29"/>
          <w:lang w:eastAsia="uk-UA"/>
        </w:rPr>
        <w:t>у двох примірниках</w:t>
      </w:r>
      <w:r w:rsidRPr="007F1EAC">
        <w:rPr>
          <w:rFonts w:ascii="AvenirNextCyr-Regular" w:eastAsia="Times New Roman" w:hAnsi="AvenirNextCyr-Regular" w:cs="Times New Roman"/>
          <w:color w:val="000000"/>
          <w:sz w:val="29"/>
          <w:szCs w:val="29"/>
          <w:lang w:eastAsia="uk-UA"/>
        </w:rPr>
        <w:t>: один — тому, хто буде її розглядати, а на другому мають поставити відмітку про отримання скарги. Примірник з відміткою зберігати.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Bold" w:eastAsia="Times New Roman" w:hAnsi="AvenirNextCyr-Bold" w:cs="Times New Roman"/>
          <w:b/>
          <w:bCs/>
          <w:color w:val="000000"/>
          <w:sz w:val="29"/>
          <w:szCs w:val="29"/>
          <w:lang w:eastAsia="uk-UA"/>
        </w:rPr>
        <w:t>Що варто знати про розгляд скарги </w:t>
      </w:r>
    </w:p>
    <w:p w:rsidR="007F1EAC" w:rsidRPr="007F1EAC" w:rsidRDefault="007F1EAC" w:rsidP="007F1EAC">
      <w:pPr>
        <w:numPr>
          <w:ilvl w:val="0"/>
          <w:numId w:val="4"/>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Після отримання звернення відповідний орган має його розглянути протягом одного місяця. Якщо питання не потребує додаткового вивчення, його можуть розглянути негайно, але не пізніше 15 днів від моменту надходження.</w:t>
      </w:r>
    </w:p>
    <w:p w:rsidR="007F1EAC" w:rsidRPr="007F1EAC" w:rsidRDefault="007F1EAC" w:rsidP="007F1EAC">
      <w:pPr>
        <w:numPr>
          <w:ilvl w:val="0"/>
          <w:numId w:val="4"/>
        </w:numPr>
        <w:spacing w:after="0" w:line="240" w:lineRule="auto"/>
        <w:ind w:left="600"/>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Військовий або його представник (адвокат) може бути присутній під час розгляду скарги. </w:t>
      </w:r>
    </w:p>
    <w:p w:rsidR="007F1EAC" w:rsidRPr="007F1EAC" w:rsidRDefault="007F1EAC" w:rsidP="007F1EAC">
      <w:pPr>
        <w:spacing w:after="0" w:line="240" w:lineRule="auto"/>
        <w:rPr>
          <w:rFonts w:ascii="AvenirNextCyr-Regular" w:eastAsia="Times New Roman" w:hAnsi="AvenirNextCyr-Regular" w:cs="Times New Roman"/>
          <w:color w:val="000000"/>
          <w:sz w:val="29"/>
          <w:szCs w:val="29"/>
          <w:lang w:eastAsia="uk-UA"/>
        </w:rPr>
      </w:pPr>
      <w:r w:rsidRPr="007F1EAC">
        <w:rPr>
          <w:rFonts w:ascii="AvenirNextCyr-Regular" w:eastAsia="Times New Roman" w:hAnsi="AvenirNextCyr-Regular" w:cs="Times New Roman"/>
          <w:color w:val="000000"/>
          <w:sz w:val="29"/>
          <w:szCs w:val="29"/>
          <w:lang w:eastAsia="uk-UA"/>
        </w:rPr>
        <w:t>За результатами розгляду скаргу задовольняють або відмовляють в її задоволенні. </w:t>
      </w:r>
      <w:r w:rsidRPr="007F1EAC">
        <w:rPr>
          <w:rFonts w:ascii="AvenirNextCyr-Bold" w:eastAsia="Times New Roman" w:hAnsi="AvenirNextCyr-Bold" w:cs="Times New Roman"/>
          <w:b/>
          <w:bCs/>
          <w:color w:val="000000"/>
          <w:sz w:val="29"/>
          <w:szCs w:val="29"/>
          <w:lang w:eastAsia="uk-UA"/>
        </w:rPr>
        <w:t>Відмова</w:t>
      </w:r>
      <w:r w:rsidRPr="007F1EAC">
        <w:rPr>
          <w:rFonts w:ascii="AvenirNextCyr-Regular" w:eastAsia="Times New Roman" w:hAnsi="AvenirNextCyr-Regular" w:cs="Times New Roman"/>
          <w:color w:val="000000"/>
          <w:sz w:val="29"/>
          <w:szCs w:val="29"/>
          <w:lang w:eastAsia="uk-UA"/>
        </w:rPr>
        <w:t> </w:t>
      </w:r>
      <w:r w:rsidRPr="007F1EAC">
        <w:rPr>
          <w:rFonts w:ascii="AvenirNextCyr-Bold" w:eastAsia="Times New Roman" w:hAnsi="AvenirNextCyr-Bold" w:cs="Times New Roman"/>
          <w:b/>
          <w:bCs/>
          <w:color w:val="000000"/>
          <w:sz w:val="29"/>
          <w:szCs w:val="29"/>
          <w:lang w:eastAsia="uk-UA"/>
        </w:rPr>
        <w:t>обов’язково має бути письмовою та аргументованою</w:t>
      </w:r>
      <w:r w:rsidRPr="007F1EAC">
        <w:rPr>
          <w:rFonts w:ascii="AvenirNextCyr-Regular" w:eastAsia="Times New Roman" w:hAnsi="AvenirNextCyr-Regular" w:cs="Times New Roman"/>
          <w:color w:val="000000"/>
          <w:sz w:val="29"/>
          <w:szCs w:val="29"/>
          <w:lang w:eastAsia="uk-UA"/>
        </w:rPr>
        <w:t>, із зазначенням конкретних причин та посиланнями на норми закону. Відмову можна оскаржити в суді. </w:t>
      </w:r>
    </w:p>
    <w:p w:rsidR="003751A3" w:rsidRDefault="003751A3"/>
    <w:sectPr w:rsidR="003751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venirNextCyr-Bold">
    <w:altName w:val="Times New Roman"/>
    <w:panose1 w:val="00000000000000000000"/>
    <w:charset w:val="00"/>
    <w:family w:val="roman"/>
    <w:notTrueType/>
    <w:pitch w:val="default"/>
  </w:font>
  <w:font w:name="AvenirNextCyr-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74FCC"/>
    <w:multiLevelType w:val="multilevel"/>
    <w:tmpl w:val="178A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A50"/>
    <w:multiLevelType w:val="multilevel"/>
    <w:tmpl w:val="34A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022B0"/>
    <w:multiLevelType w:val="multilevel"/>
    <w:tmpl w:val="F854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BF4503"/>
    <w:multiLevelType w:val="multilevel"/>
    <w:tmpl w:val="A27A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CE"/>
    <w:rsid w:val="003751A3"/>
    <w:rsid w:val="00430738"/>
    <w:rsid w:val="005F64AB"/>
    <w:rsid w:val="007F1EAC"/>
    <w:rsid w:val="0097500E"/>
    <w:rsid w:val="00D32F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979261">
      <w:bodyDiv w:val="1"/>
      <w:marLeft w:val="0"/>
      <w:marRight w:val="0"/>
      <w:marTop w:val="0"/>
      <w:marBottom w:val="0"/>
      <w:divBdr>
        <w:top w:val="none" w:sz="0" w:space="0" w:color="auto"/>
        <w:left w:val="none" w:sz="0" w:space="0" w:color="auto"/>
        <w:bottom w:val="none" w:sz="0" w:space="0" w:color="auto"/>
        <w:right w:val="none" w:sz="0" w:space="0" w:color="auto"/>
      </w:divBdr>
      <w:divsChild>
        <w:div w:id="1044057726">
          <w:marLeft w:val="0"/>
          <w:marRight w:val="0"/>
          <w:marTop w:val="0"/>
          <w:marBottom w:val="0"/>
          <w:divBdr>
            <w:top w:val="none" w:sz="0" w:space="0" w:color="auto"/>
            <w:left w:val="none" w:sz="0" w:space="0" w:color="auto"/>
            <w:bottom w:val="none" w:sz="0" w:space="0" w:color="auto"/>
            <w:right w:val="none" w:sz="0" w:space="0" w:color="auto"/>
          </w:divBdr>
          <w:divsChild>
            <w:div w:id="15768652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ocol.ua/ua/kriminalniy_kodeks_ukraini_stattya_403/" TargetMode="External"/><Relationship Id="rId3" Type="http://schemas.microsoft.com/office/2007/relationships/stylesWithEffects" Target="stylesWithEffects.xml"/><Relationship Id="rId7" Type="http://schemas.openxmlformats.org/officeDocument/2006/relationships/hyperlink" Target="https://zakon.rada.gov.ua/go/231/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mic.chervonogra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2858</Words>
  <Characters>1630</Characters>
  <Application>Microsoft Office Word</Application>
  <DocSecurity>0</DocSecurity>
  <Lines>13</Lines>
  <Paragraphs>8</Paragraphs>
  <ScaleCrop>false</ScaleCrop>
  <Company>Krokoz™</Company>
  <LinksUpToDate>false</LinksUpToDate>
  <CharactersWithSpaces>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Белз</dc:creator>
  <cp:keywords/>
  <dc:description/>
  <cp:lastModifiedBy>Белз</cp:lastModifiedBy>
  <cp:revision>8</cp:revision>
  <dcterms:created xsi:type="dcterms:W3CDTF">2023-06-08T09:32:00Z</dcterms:created>
  <dcterms:modified xsi:type="dcterms:W3CDTF">2023-06-08T09:41:00Z</dcterms:modified>
</cp:coreProperties>
</file>