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38" w:rsidRDefault="001E0538" w:rsidP="001E0538">
      <w:pPr>
        <w:outlineLvl w:val="0"/>
        <w:rPr>
          <w:rFonts w:ascii="AvenirNextCyr-Bold" w:hAnsi="AvenirNextCyr-Bold"/>
          <w:b/>
          <w:bCs/>
          <w:kern w:val="36"/>
          <w:sz w:val="36"/>
          <w:szCs w:val="36"/>
          <w:u w:val="single"/>
          <w:lang w:val="uk-UA" w:eastAsia="uk-UA"/>
        </w:rPr>
      </w:pPr>
      <w:r w:rsidRPr="008A0CE0">
        <w:rPr>
          <w:rFonts w:ascii="AvenirNextCyr-Bold" w:hAnsi="AvenirNextCyr-Bold"/>
          <w:b/>
          <w:bCs/>
          <w:kern w:val="36"/>
          <w:sz w:val="36"/>
          <w:szCs w:val="36"/>
          <w:u w:val="single"/>
          <w:lang w:val="uk-UA" w:eastAsia="uk-UA"/>
        </w:rPr>
        <w:t>Перерахунок пенсій: як проводиться і чому можуть відмовити</w:t>
      </w:r>
    </w:p>
    <w:p w:rsidR="0019512B" w:rsidRPr="0019512B" w:rsidRDefault="0019512B" w:rsidP="0019512B">
      <w:pPr>
        <w:rPr>
          <w:rFonts w:ascii="AvenirNextCyr-Regular" w:hAnsi="AvenirNextCyr-Regular"/>
          <w:color w:val="000000"/>
          <w:sz w:val="29"/>
          <w:szCs w:val="29"/>
          <w:lang w:val="uk-UA" w:eastAsia="uk-UA"/>
        </w:rPr>
      </w:pPr>
      <w:r w:rsidRPr="0019512B">
        <w:rPr>
          <w:rFonts w:ascii="AvenirNextCyr-Bold" w:hAnsi="AvenirNextCyr-Bold"/>
          <w:b/>
          <w:bCs/>
          <w:color w:val="000000"/>
          <w:sz w:val="29"/>
          <w:szCs w:val="29"/>
          <w:lang w:val="uk-UA" w:eastAsia="uk-UA"/>
        </w:rPr>
        <w:t xml:space="preserve">Правове роз’яснення підготував Андрій </w:t>
      </w:r>
      <w:proofErr w:type="spellStart"/>
      <w:r w:rsidRPr="0019512B">
        <w:rPr>
          <w:rFonts w:ascii="AvenirNextCyr-Bold" w:hAnsi="AvenirNextCyr-Bold"/>
          <w:b/>
          <w:bCs/>
          <w:color w:val="000000"/>
          <w:sz w:val="29"/>
          <w:szCs w:val="29"/>
          <w:lang w:val="uk-UA" w:eastAsia="uk-UA"/>
        </w:rPr>
        <w:t>Мицак</w:t>
      </w:r>
      <w:proofErr w:type="spellEnd"/>
      <w:r w:rsidRPr="0019512B">
        <w:rPr>
          <w:rFonts w:ascii="AvenirNextCyr-Bold" w:hAnsi="AvenirNextCyr-Bold"/>
          <w:b/>
          <w:bCs/>
          <w:color w:val="000000"/>
          <w:sz w:val="29"/>
          <w:szCs w:val="29"/>
          <w:lang w:val="uk-UA" w:eastAsia="uk-UA"/>
        </w:rPr>
        <w:t>, юрист </w:t>
      </w:r>
      <w:hyperlink r:id="rId6" w:history="1">
        <w:r w:rsidRPr="0019512B">
          <w:rPr>
            <w:rFonts w:ascii="AvenirNextCyr-Bold" w:hAnsi="AvenirNextCyr-Bold"/>
            <w:b/>
            <w:bCs/>
            <w:sz w:val="29"/>
            <w:szCs w:val="29"/>
            <w:lang w:val="uk-UA" w:eastAsia="uk-UA"/>
          </w:rPr>
          <w:t>ГО «Молодіжний ініціативний центр»</w:t>
        </w:r>
      </w:hyperlink>
      <w:r w:rsidRPr="0019512B">
        <w:rPr>
          <w:rFonts w:ascii="AvenirNextCyr-Bold" w:hAnsi="AvenirNextCyr-Bold"/>
          <w:b/>
          <w:bCs/>
          <w:sz w:val="29"/>
          <w:szCs w:val="29"/>
          <w:lang w:val="uk-UA" w:eastAsia="uk-UA"/>
        </w:rPr>
        <w:t>.</w:t>
      </w:r>
    </w:p>
    <w:p w:rsidR="001E0538" w:rsidRDefault="001E0538" w:rsidP="001E0538">
      <w:pPr>
        <w:rPr>
          <w:rFonts w:ascii="AvenirNextCyr-Regular" w:hAnsi="AvenirNextCyr-Regular"/>
          <w:sz w:val="29"/>
          <w:szCs w:val="29"/>
          <w:lang w:val="uk-UA" w:eastAsia="uk-UA"/>
        </w:rPr>
      </w:pPr>
      <w:bookmarkStart w:id="0" w:name="_GoBack"/>
      <w:bookmarkEnd w:id="0"/>
      <w:r>
        <w:rPr>
          <w:rFonts w:ascii="AvenirNextCyr-Regular" w:hAnsi="AvenirNextCyr-Regular"/>
          <w:sz w:val="29"/>
          <w:szCs w:val="29"/>
          <w:lang w:val="uk-UA" w:eastAsia="uk-UA"/>
        </w:rPr>
        <w:t xml:space="preserve"> Перерахунок пенсії в Україні здійснюється згідно з </w:t>
      </w:r>
      <w:hyperlink r:id="rId7" w:history="1">
        <w:r>
          <w:rPr>
            <w:rStyle w:val="a3"/>
            <w:rFonts w:ascii="AvenirNextCyr-Regular" w:hAnsi="AvenirNextCyr-Regular"/>
            <w:color w:val="329474"/>
            <w:sz w:val="29"/>
            <w:szCs w:val="29"/>
            <w:u w:val="none"/>
            <w:lang w:val="uk-UA" w:eastAsia="uk-UA"/>
          </w:rPr>
          <w:t> Порядком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hyperlink>
      <w:r>
        <w:rPr>
          <w:rFonts w:ascii="AvenirNextCyr-Regular" w:hAnsi="AvenirNextCyr-Regular"/>
          <w:sz w:val="29"/>
          <w:szCs w:val="29"/>
          <w:lang w:val="uk-UA" w:eastAsia="uk-UA"/>
        </w:rPr>
        <w:t> (далі — Закон). </w:t>
      </w:r>
    </w:p>
    <w:p w:rsidR="001E0538" w:rsidRDefault="001E0538" w:rsidP="001E0538">
      <w:pPr>
        <w:rPr>
          <w:rFonts w:ascii="AvenirNextCyr-Regular" w:hAnsi="AvenirNextCyr-Regular"/>
          <w:sz w:val="29"/>
          <w:szCs w:val="29"/>
          <w:lang w:val="uk-UA" w:eastAsia="uk-UA"/>
        </w:rPr>
      </w:pPr>
      <w:r>
        <w:rPr>
          <w:rFonts w:ascii="AvenirNextCyr-Regular" w:hAnsi="AvenirNextCyr-Regular"/>
          <w:sz w:val="29"/>
          <w:szCs w:val="29"/>
          <w:lang w:val="uk-UA" w:eastAsia="uk-UA"/>
        </w:rPr>
        <w:t>Стаття 42 цього Закону передбачає, що </w:t>
      </w:r>
      <w:r>
        <w:rPr>
          <w:rFonts w:ascii="AvenirNextCyr-Bold" w:hAnsi="AvenirNextCyr-Bold"/>
          <w:b/>
          <w:bCs/>
          <w:sz w:val="29"/>
          <w:szCs w:val="29"/>
          <w:lang w:val="uk-UA" w:eastAsia="uk-UA"/>
        </w:rPr>
        <w:t>перерахунок пенсій проводиться:</w:t>
      </w:r>
    </w:p>
    <w:p w:rsidR="001E0538" w:rsidRDefault="001E0538" w:rsidP="001E0538">
      <w:pPr>
        <w:rPr>
          <w:rFonts w:ascii="AvenirNextCyr-Regular" w:hAnsi="AvenirNextCyr-Regular"/>
          <w:sz w:val="29"/>
          <w:szCs w:val="29"/>
          <w:lang w:val="uk-UA" w:eastAsia="uk-UA"/>
        </w:rPr>
      </w:pPr>
      <w:r>
        <w:rPr>
          <w:rFonts w:ascii="AvenirNextCyr-Regular" w:hAnsi="AvenirNextCyr-Regular"/>
          <w:sz w:val="29"/>
          <w:szCs w:val="29"/>
          <w:lang w:val="uk-UA" w:eastAsia="uk-UA"/>
        </w:rPr>
        <w:t> </w:t>
      </w:r>
      <w:r>
        <w:rPr>
          <w:rFonts w:ascii="AvenirNextCyr-Regular" w:hAnsi="AvenirNextCyr-Regular"/>
          <w:i/>
          <w:iCs/>
          <w:sz w:val="29"/>
          <w:szCs w:val="29"/>
          <w:lang w:val="uk-UA" w:eastAsia="uk-UA"/>
        </w:rPr>
        <w:t>– у зв’язку зі збільшення показника середньої заробітної плати (доходу) в Україні, з якої сплачено страхові внески, який враховується для обчислення пенсії;</w:t>
      </w:r>
    </w:p>
    <w:p w:rsidR="001E0538" w:rsidRDefault="001E0538" w:rsidP="001E0538">
      <w:pPr>
        <w:rPr>
          <w:rFonts w:ascii="AvenirNextCyr-Regular" w:hAnsi="AvenirNextCyr-Regular"/>
          <w:sz w:val="29"/>
          <w:szCs w:val="29"/>
          <w:lang w:val="uk-UA" w:eastAsia="uk-UA"/>
        </w:rPr>
      </w:pPr>
      <w:r>
        <w:rPr>
          <w:rFonts w:ascii="AvenirNextCyr-Regular" w:hAnsi="AvenirNextCyr-Regular"/>
          <w:i/>
          <w:iCs/>
          <w:sz w:val="29"/>
          <w:szCs w:val="29"/>
          <w:lang w:val="uk-UA" w:eastAsia="uk-UA"/>
        </w:rPr>
        <w:t>– у зв’язку зі зростанням прожиткового мінімуму, встановленого для осіб, які втратили працездатність;</w:t>
      </w:r>
    </w:p>
    <w:p w:rsidR="001E0538" w:rsidRDefault="001E0538" w:rsidP="001E0538">
      <w:pPr>
        <w:rPr>
          <w:rFonts w:ascii="AvenirNextCyr-Regular" w:hAnsi="AvenirNextCyr-Regular"/>
          <w:sz w:val="29"/>
          <w:szCs w:val="29"/>
          <w:lang w:val="uk-UA" w:eastAsia="uk-UA"/>
        </w:rPr>
      </w:pPr>
      <w:r>
        <w:rPr>
          <w:rFonts w:ascii="AvenirNextCyr-Regular" w:hAnsi="AvenirNextCyr-Regular"/>
          <w:i/>
          <w:iCs/>
          <w:sz w:val="29"/>
          <w:szCs w:val="29"/>
          <w:lang w:val="uk-UA" w:eastAsia="uk-UA"/>
        </w:rPr>
        <w:t>– працюючим пенсіонерам.</w:t>
      </w:r>
    </w:p>
    <w:p w:rsidR="001E0538" w:rsidRDefault="001E0538" w:rsidP="001E0538">
      <w:pPr>
        <w:rPr>
          <w:rFonts w:ascii="AvenirNextCyr-Regular" w:hAnsi="AvenirNextCyr-Regular"/>
          <w:sz w:val="29"/>
          <w:szCs w:val="29"/>
          <w:lang w:val="uk-UA" w:eastAsia="uk-UA"/>
        </w:rPr>
      </w:pPr>
      <w:r>
        <w:rPr>
          <w:rFonts w:ascii="AvenirNextCyr-Regular" w:hAnsi="AvenirNextCyr-Regular"/>
          <w:sz w:val="29"/>
          <w:szCs w:val="29"/>
          <w:lang w:val="uk-UA" w:eastAsia="uk-UA"/>
        </w:rPr>
        <w:t>Перерахунок пенсій відповідно до Порядку проводиться щороку з 1 березня.</w:t>
      </w:r>
    </w:p>
    <w:p w:rsidR="001E0538" w:rsidRDefault="001E0538" w:rsidP="001E0538">
      <w:pPr>
        <w:rPr>
          <w:rFonts w:ascii="AvenirNextCyr-Regular" w:hAnsi="AvenirNextCyr-Regular"/>
          <w:sz w:val="29"/>
          <w:szCs w:val="29"/>
          <w:lang w:val="uk-UA" w:eastAsia="uk-UA"/>
        </w:rPr>
      </w:pPr>
      <w:r>
        <w:rPr>
          <w:rFonts w:ascii="AvenirNextCyr-Regular" w:hAnsi="AvenirNextCyr-Regular"/>
          <w:sz w:val="29"/>
          <w:szCs w:val="29"/>
          <w:lang w:val="uk-UA" w:eastAsia="uk-UA"/>
        </w:rPr>
        <w:t>У випадку, коли заявник виявив, що </w:t>
      </w:r>
      <w:r>
        <w:rPr>
          <w:rFonts w:ascii="AvenirNextCyr-Bold" w:hAnsi="AvenirNextCyr-Bold"/>
          <w:b/>
          <w:bCs/>
          <w:sz w:val="29"/>
          <w:szCs w:val="29"/>
          <w:lang w:val="uk-UA" w:eastAsia="uk-UA"/>
        </w:rPr>
        <w:t>перерахунок пенсії не відбувся</w:t>
      </w:r>
      <w:r>
        <w:rPr>
          <w:rFonts w:ascii="AvenirNextCyr-Regular" w:hAnsi="AvenirNextCyr-Regular"/>
          <w:sz w:val="29"/>
          <w:szCs w:val="29"/>
          <w:lang w:val="uk-UA" w:eastAsia="uk-UA"/>
        </w:rPr>
        <w:t>, він може звернутися до територіального відділення Пенсійного Фонду України для з’ясування причини.</w:t>
      </w:r>
    </w:p>
    <w:p w:rsidR="001E0538" w:rsidRDefault="001E0538" w:rsidP="001E0538">
      <w:pPr>
        <w:rPr>
          <w:rFonts w:ascii="AvenirNextCyr-Regular" w:hAnsi="AvenirNextCyr-Regular"/>
          <w:sz w:val="29"/>
          <w:szCs w:val="29"/>
          <w:lang w:val="uk-UA" w:eastAsia="uk-UA"/>
        </w:rPr>
      </w:pPr>
      <w:r>
        <w:rPr>
          <w:rFonts w:ascii="AvenirNextCyr-Regular" w:hAnsi="AvenirNextCyr-Regular"/>
          <w:sz w:val="29"/>
          <w:szCs w:val="29"/>
          <w:lang w:val="uk-UA" w:eastAsia="uk-UA"/>
        </w:rPr>
        <w:t>Варто зазначити, що, починаючи з квітня 2018 року, органи Пенсійного фонду України проводять автоматичний перерахунок пенсії відповідно до нової редакції частини четвертої статті 42 Закону. Нею передбачено врахування страхового стажу особам, які після призначення пенсії працювали, та на 1 березня року, в якому здійснюється такий перерахунок, відпрацювали не менш як 24 місяці, або відпрацювали менше, ніж 24 місяці, але після призначення пенсії (попереднього перерахунку) пройшло два роки.</w:t>
      </w:r>
    </w:p>
    <w:p w:rsidR="001E0538" w:rsidRDefault="001E0538" w:rsidP="001E0538">
      <w:pPr>
        <w:rPr>
          <w:rFonts w:ascii="AvenirNextCyr-Regular" w:hAnsi="AvenirNextCyr-Regular"/>
          <w:sz w:val="29"/>
          <w:szCs w:val="29"/>
          <w:lang w:val="uk-UA" w:eastAsia="uk-UA"/>
        </w:rPr>
      </w:pPr>
      <w:r>
        <w:rPr>
          <w:rFonts w:ascii="AvenirNextCyr-Regular" w:hAnsi="AvenirNextCyr-Regular"/>
          <w:sz w:val="29"/>
          <w:szCs w:val="29"/>
          <w:lang w:val="uk-UA" w:eastAsia="uk-UA"/>
        </w:rPr>
        <w:t>Дія цієї частини </w:t>
      </w:r>
      <w:r>
        <w:rPr>
          <w:rFonts w:ascii="AvenirNextCyr-Bold" w:hAnsi="AvenirNextCyr-Bold"/>
          <w:b/>
          <w:bCs/>
          <w:sz w:val="29"/>
          <w:szCs w:val="29"/>
          <w:lang w:val="uk-UA" w:eastAsia="uk-UA"/>
        </w:rPr>
        <w:t>не поширюється</w:t>
      </w:r>
      <w:r>
        <w:rPr>
          <w:rFonts w:ascii="AvenirNextCyr-Regular" w:hAnsi="AvenirNextCyr-Regular"/>
          <w:sz w:val="29"/>
          <w:szCs w:val="29"/>
          <w:lang w:val="uk-UA" w:eastAsia="uk-UA"/>
        </w:rPr>
        <w:t> на пенсіонерів, яким призначено пенсію за вислугу років на умовах, передбачених </w:t>
      </w:r>
      <w:hyperlink r:id="rId8" w:tgtFrame="_blank" w:history="1">
        <w:r>
          <w:rPr>
            <w:rStyle w:val="a3"/>
            <w:rFonts w:ascii="AvenirNextCyr-Regular" w:hAnsi="AvenirNextCyr-Regular"/>
            <w:color w:val="329474"/>
            <w:sz w:val="29"/>
            <w:szCs w:val="29"/>
            <w:u w:val="none"/>
            <w:lang w:val="uk-UA" w:eastAsia="uk-UA"/>
          </w:rPr>
          <w:t>Законом України </w:t>
        </w:r>
      </w:hyperlink>
      <w:r>
        <w:rPr>
          <w:rFonts w:ascii="AvenirNextCyr-Regular" w:hAnsi="AvenirNextCyr-Regular"/>
          <w:sz w:val="29"/>
          <w:szCs w:val="29"/>
          <w:lang w:val="uk-UA" w:eastAsia="uk-UA"/>
        </w:rPr>
        <w:t> «Про пенсійне забезпечення», та які не досягли віку, встановленого </w:t>
      </w:r>
      <w:hyperlink r:id="rId9" w:anchor="n464" w:tgtFrame="_blank" w:history="1">
        <w:r>
          <w:rPr>
            <w:rStyle w:val="a3"/>
            <w:rFonts w:ascii="AvenirNextCyr-Regular" w:hAnsi="AvenirNextCyr-Regular"/>
            <w:color w:val="329474"/>
            <w:sz w:val="29"/>
            <w:szCs w:val="29"/>
            <w:u w:val="none"/>
            <w:lang w:val="uk-UA" w:eastAsia="uk-UA"/>
          </w:rPr>
          <w:t>статтею 26 </w:t>
        </w:r>
      </w:hyperlink>
      <w:r>
        <w:rPr>
          <w:rFonts w:ascii="AvenirNextCyr-Regular" w:hAnsi="AvenirNextCyr-Regular"/>
          <w:sz w:val="29"/>
          <w:szCs w:val="29"/>
          <w:lang w:val="uk-UA" w:eastAsia="uk-UA"/>
        </w:rPr>
        <w:t>Закону.</w:t>
      </w:r>
    </w:p>
    <w:p w:rsidR="001E0538" w:rsidRDefault="001E0538" w:rsidP="001E0538">
      <w:pPr>
        <w:rPr>
          <w:rFonts w:ascii="AvenirNextCyr-Regular" w:hAnsi="AvenirNextCyr-Regular"/>
          <w:sz w:val="29"/>
          <w:szCs w:val="29"/>
          <w:lang w:val="uk-UA" w:eastAsia="uk-UA"/>
        </w:rPr>
      </w:pPr>
      <w:r>
        <w:rPr>
          <w:rFonts w:ascii="AvenirNextCyr-Regular" w:hAnsi="AvenirNextCyr-Regular"/>
          <w:sz w:val="29"/>
          <w:szCs w:val="29"/>
          <w:lang w:val="uk-UA" w:eastAsia="uk-UA"/>
        </w:rPr>
        <w:t>Чинним законодавством </w:t>
      </w:r>
      <w:r>
        <w:rPr>
          <w:rFonts w:ascii="AvenirNextCyr-Bold" w:hAnsi="AvenirNextCyr-Bold"/>
          <w:b/>
          <w:bCs/>
          <w:sz w:val="29"/>
          <w:szCs w:val="29"/>
          <w:lang w:val="uk-UA" w:eastAsia="uk-UA"/>
        </w:rPr>
        <w:t>не визначено вичерпного переліку підстав відмови у перерахунку пенсії, однак такими підставами можуть бути зокрема:</w:t>
      </w:r>
    </w:p>
    <w:p w:rsidR="001E0538" w:rsidRDefault="001E0538" w:rsidP="001E0538">
      <w:pPr>
        <w:numPr>
          <w:ilvl w:val="0"/>
          <w:numId w:val="1"/>
        </w:numPr>
        <w:ind w:left="600"/>
        <w:rPr>
          <w:rFonts w:ascii="AvenirNextCyr-Regular" w:hAnsi="AvenirNextCyr-Regular"/>
          <w:sz w:val="29"/>
          <w:szCs w:val="29"/>
          <w:lang w:val="uk-UA" w:eastAsia="uk-UA"/>
        </w:rPr>
      </w:pPr>
      <w:r>
        <w:rPr>
          <w:rFonts w:ascii="AvenirNextCyr-Regular" w:hAnsi="AvenirNextCyr-Regular"/>
          <w:sz w:val="29"/>
          <w:szCs w:val="29"/>
          <w:lang w:val="uk-UA" w:eastAsia="uk-UA"/>
        </w:rPr>
        <w:t>подання невідповідних додаткових документів, які дають право на подальший перегляд розміру виплачуваної пенсії;</w:t>
      </w:r>
    </w:p>
    <w:p w:rsidR="001E0538" w:rsidRDefault="001E0538" w:rsidP="001E0538">
      <w:pPr>
        <w:numPr>
          <w:ilvl w:val="0"/>
          <w:numId w:val="1"/>
        </w:numPr>
        <w:ind w:left="600"/>
        <w:rPr>
          <w:rFonts w:ascii="AvenirNextCyr-Regular" w:hAnsi="AvenirNextCyr-Regular"/>
          <w:sz w:val="29"/>
          <w:szCs w:val="29"/>
          <w:lang w:val="uk-UA" w:eastAsia="uk-UA"/>
        </w:rPr>
      </w:pPr>
      <w:r>
        <w:rPr>
          <w:rFonts w:ascii="AvenirNextCyr-Regular" w:hAnsi="AvenirNextCyr-Regular"/>
          <w:sz w:val="29"/>
          <w:szCs w:val="29"/>
          <w:lang w:val="uk-UA" w:eastAsia="uk-UA"/>
        </w:rPr>
        <w:t>подання недостовірних відомостей;</w:t>
      </w:r>
    </w:p>
    <w:p w:rsidR="001E0538" w:rsidRDefault="001E0538" w:rsidP="001E0538">
      <w:pPr>
        <w:numPr>
          <w:ilvl w:val="0"/>
          <w:numId w:val="1"/>
        </w:numPr>
        <w:ind w:left="600"/>
        <w:rPr>
          <w:rFonts w:ascii="AvenirNextCyr-Regular" w:hAnsi="AvenirNextCyr-Regular"/>
          <w:sz w:val="29"/>
          <w:szCs w:val="29"/>
          <w:lang w:val="uk-UA" w:eastAsia="uk-UA"/>
        </w:rPr>
      </w:pPr>
      <w:r>
        <w:rPr>
          <w:rFonts w:ascii="AvenirNextCyr-Regular" w:hAnsi="AvenirNextCyr-Regular"/>
          <w:sz w:val="29"/>
          <w:szCs w:val="29"/>
          <w:lang w:val="uk-UA" w:eastAsia="uk-UA"/>
        </w:rPr>
        <w:t>відсутність правових підстав для перерахунку.</w:t>
      </w:r>
    </w:p>
    <w:p w:rsidR="001E0538" w:rsidRDefault="001E0538" w:rsidP="001E0538">
      <w:pPr>
        <w:pBdr>
          <w:bottom w:val="single" w:sz="6" w:space="1" w:color="auto"/>
        </w:pBdr>
        <w:jc w:val="center"/>
        <w:rPr>
          <w:rFonts w:ascii="Arial" w:hAnsi="Arial" w:cs="Arial"/>
          <w:vanish/>
          <w:sz w:val="16"/>
          <w:szCs w:val="16"/>
          <w:lang w:val="uk-UA" w:eastAsia="uk-UA"/>
        </w:rPr>
      </w:pPr>
      <w:r>
        <w:rPr>
          <w:rFonts w:ascii="Arial" w:hAnsi="Arial" w:cs="Arial"/>
          <w:vanish/>
          <w:sz w:val="16"/>
          <w:szCs w:val="16"/>
          <w:lang w:val="uk-UA" w:eastAsia="uk-UA"/>
        </w:rPr>
        <w:t>Начало формы</w:t>
      </w:r>
    </w:p>
    <w:p w:rsidR="001E0538" w:rsidRDefault="001E0538" w:rsidP="001E0538">
      <w:pPr>
        <w:pBdr>
          <w:top w:val="single" w:sz="6" w:space="1" w:color="auto"/>
        </w:pBdr>
        <w:jc w:val="center"/>
        <w:rPr>
          <w:rFonts w:ascii="Arial" w:hAnsi="Arial" w:cs="Arial"/>
          <w:vanish/>
          <w:sz w:val="16"/>
          <w:szCs w:val="16"/>
          <w:lang w:val="uk-UA" w:eastAsia="uk-UA"/>
        </w:rPr>
      </w:pPr>
      <w:r>
        <w:rPr>
          <w:rFonts w:ascii="Arial" w:hAnsi="Arial" w:cs="Arial"/>
          <w:vanish/>
          <w:sz w:val="16"/>
          <w:szCs w:val="16"/>
          <w:lang w:val="uk-UA" w:eastAsia="uk-UA"/>
        </w:rPr>
        <w:t>Конец формы</w:t>
      </w:r>
    </w:p>
    <w:p w:rsidR="001E0538" w:rsidRDefault="001E0538" w:rsidP="001E0538">
      <w:pPr>
        <w:spacing w:line="360" w:lineRule="auto"/>
        <w:rPr>
          <w:sz w:val="28"/>
          <w:szCs w:val="28"/>
          <w:lang w:val="uk-UA"/>
        </w:rPr>
      </w:pPr>
    </w:p>
    <w:p w:rsidR="006D6A2A" w:rsidRPr="001E0538" w:rsidRDefault="006D6A2A">
      <w:pPr>
        <w:rPr>
          <w:lang w:val="uk-UA"/>
        </w:rPr>
      </w:pPr>
    </w:p>
    <w:sectPr w:rsidR="006D6A2A" w:rsidRPr="001E05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venirNextCyr-Bold">
    <w:altName w:val="Times New Roman"/>
    <w:panose1 w:val="00000000000000000000"/>
    <w:charset w:val="00"/>
    <w:family w:val="roman"/>
    <w:notTrueType/>
    <w:pitch w:val="default"/>
  </w:font>
  <w:font w:name="AvenirNextCyr-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C21B0"/>
    <w:multiLevelType w:val="multilevel"/>
    <w:tmpl w:val="0E309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6F"/>
    <w:rsid w:val="0019512B"/>
    <w:rsid w:val="001E0538"/>
    <w:rsid w:val="00320AEB"/>
    <w:rsid w:val="006D6A2A"/>
    <w:rsid w:val="008A0CE0"/>
    <w:rsid w:val="00C869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3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05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3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0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1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788-12" TargetMode="External"/><Relationship Id="rId3" Type="http://schemas.microsoft.com/office/2007/relationships/stylesWithEffects" Target="stylesWithEffects.xml"/><Relationship Id="rId7" Type="http://schemas.openxmlformats.org/officeDocument/2006/relationships/hyperlink" Target="https://zakon.rada.gov.ua/laws/show/z0895-14/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ic.chervonogra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1058-15/print1509541731175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1489</Words>
  <Characters>849</Characters>
  <Application>Microsoft Office Word</Application>
  <DocSecurity>0</DocSecurity>
  <Lines>7</Lines>
  <Paragraphs>4</Paragraphs>
  <ScaleCrop>false</ScaleCrop>
  <Company>Krokoz™</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Белз</dc:creator>
  <cp:keywords/>
  <dc:description/>
  <cp:lastModifiedBy>Белз</cp:lastModifiedBy>
  <cp:revision>9</cp:revision>
  <dcterms:created xsi:type="dcterms:W3CDTF">2023-06-08T09:24:00Z</dcterms:created>
  <dcterms:modified xsi:type="dcterms:W3CDTF">2023-06-08T09:40:00Z</dcterms:modified>
</cp:coreProperties>
</file>