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2"/>
        <w:tblW w:w="11057" w:type="dxa"/>
        <w:tblInd w:w="-176" w:type="dxa"/>
        <w:tblLook w:val="04A0"/>
      </w:tblPr>
      <w:tblGrid>
        <w:gridCol w:w="426"/>
        <w:gridCol w:w="3686"/>
        <w:gridCol w:w="6945"/>
      </w:tblGrid>
      <w:tr w:rsidR="00D03934" w:rsidRPr="002D3BB6" w:rsidTr="002D3BB6">
        <w:trPr>
          <w:trHeight w:val="840"/>
        </w:trPr>
        <w:tc>
          <w:tcPr>
            <w:tcW w:w="11057" w:type="dxa"/>
            <w:gridSpan w:val="3"/>
          </w:tcPr>
          <w:p w:rsidR="00247DC1" w:rsidRPr="002D3BB6" w:rsidRDefault="00247DC1" w:rsidP="00247DC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 w:rsidRPr="002D3BB6">
              <w:rPr>
                <w:b/>
                <w:bCs/>
                <w:sz w:val="22"/>
                <w:szCs w:val="22"/>
                <w:lang w:val="uk-UA" w:eastAsia="en-US"/>
              </w:rPr>
              <w:t xml:space="preserve">Обґрунтування технічних та якісних характеристик предмета закупівлі, розміру </w:t>
            </w:r>
            <w:r w:rsidRPr="002D3BB6">
              <w:rPr>
                <w:b/>
                <w:bCs/>
                <w:spacing w:val="-57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bCs/>
                <w:sz w:val="22"/>
                <w:szCs w:val="22"/>
                <w:lang w:val="uk-UA" w:eastAsia="en-US"/>
              </w:rPr>
              <w:t>бюджетного</w:t>
            </w:r>
            <w:r w:rsidRPr="002D3BB6">
              <w:rPr>
                <w:b/>
                <w:bCs/>
                <w:spacing w:val="-1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bCs/>
                <w:sz w:val="22"/>
                <w:szCs w:val="22"/>
                <w:lang w:val="uk-UA" w:eastAsia="en-US"/>
              </w:rPr>
              <w:t>призначення, очікуваної</w:t>
            </w:r>
            <w:r w:rsidRPr="002D3BB6">
              <w:rPr>
                <w:b/>
                <w:bCs/>
                <w:spacing w:val="-1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bCs/>
                <w:sz w:val="22"/>
                <w:szCs w:val="22"/>
                <w:lang w:val="uk-UA" w:eastAsia="en-US"/>
              </w:rPr>
              <w:t>вартості</w:t>
            </w:r>
            <w:r w:rsidRPr="002D3BB6">
              <w:rPr>
                <w:b/>
                <w:bCs/>
                <w:spacing w:val="-1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bCs/>
                <w:sz w:val="22"/>
                <w:szCs w:val="22"/>
                <w:lang w:val="uk-UA" w:eastAsia="en-US"/>
              </w:rPr>
              <w:t>предмета</w:t>
            </w:r>
            <w:r w:rsidRPr="002D3BB6">
              <w:rPr>
                <w:b/>
                <w:bCs/>
                <w:spacing w:val="-2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bCs/>
                <w:sz w:val="22"/>
                <w:szCs w:val="22"/>
                <w:lang w:val="uk-UA" w:eastAsia="en-US"/>
              </w:rPr>
              <w:t>закупівлі</w:t>
            </w:r>
          </w:p>
          <w:p w:rsidR="00247DC1" w:rsidRPr="002D3BB6" w:rsidRDefault="00247DC1" w:rsidP="00247DC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  <w:i/>
                <w:sz w:val="22"/>
                <w:szCs w:val="22"/>
                <w:lang w:val="uk-UA" w:eastAsia="en-US"/>
              </w:rPr>
            </w:pPr>
            <w:r w:rsidRPr="002D3BB6">
              <w:rPr>
                <w:b/>
                <w:bCs/>
                <w:i/>
                <w:sz w:val="22"/>
                <w:szCs w:val="22"/>
                <w:lang w:val="uk-UA" w:eastAsia="en-US"/>
              </w:rPr>
              <w:t>(відповідно до пункту 41 постанови Кабінету Міністрів України від</w:t>
            </w:r>
            <w:r w:rsidRPr="002D3BB6">
              <w:rPr>
                <w:b/>
                <w:bCs/>
                <w:i/>
                <w:spacing w:val="-13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bCs/>
                <w:i/>
                <w:sz w:val="22"/>
                <w:szCs w:val="22"/>
                <w:lang w:val="uk-UA" w:eastAsia="en-US"/>
              </w:rPr>
              <w:t>11.10.2016 р. № 710</w:t>
            </w:r>
          </w:p>
          <w:p w:rsidR="00D03934" w:rsidRPr="002D3BB6" w:rsidRDefault="00247DC1" w:rsidP="00247D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3BB6">
              <w:rPr>
                <w:b/>
                <w:i/>
                <w:sz w:val="22"/>
                <w:szCs w:val="22"/>
                <w:lang w:val="uk-UA" w:eastAsia="en-US"/>
              </w:rPr>
              <w:t>«Про</w:t>
            </w:r>
            <w:r w:rsidRPr="002D3BB6">
              <w:rPr>
                <w:b/>
                <w:i/>
                <w:spacing w:val="-6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i/>
                <w:sz w:val="22"/>
                <w:szCs w:val="22"/>
                <w:lang w:val="uk-UA" w:eastAsia="en-US"/>
              </w:rPr>
              <w:t>ефективне</w:t>
            </w:r>
            <w:r w:rsidRPr="002D3BB6">
              <w:rPr>
                <w:b/>
                <w:i/>
                <w:spacing w:val="-4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i/>
                <w:sz w:val="22"/>
                <w:szCs w:val="22"/>
                <w:lang w:val="uk-UA" w:eastAsia="en-US"/>
              </w:rPr>
              <w:t>використання</w:t>
            </w:r>
            <w:r w:rsidRPr="002D3BB6">
              <w:rPr>
                <w:b/>
                <w:i/>
                <w:spacing w:val="-5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i/>
                <w:sz w:val="22"/>
                <w:szCs w:val="22"/>
                <w:lang w:val="uk-UA" w:eastAsia="en-US"/>
              </w:rPr>
              <w:t>державних</w:t>
            </w:r>
            <w:r w:rsidRPr="002D3BB6">
              <w:rPr>
                <w:b/>
                <w:i/>
                <w:spacing w:val="-5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i/>
                <w:sz w:val="22"/>
                <w:szCs w:val="22"/>
                <w:lang w:val="uk-UA" w:eastAsia="en-US"/>
              </w:rPr>
              <w:t>коштів» (зі</w:t>
            </w:r>
            <w:r w:rsidRPr="002D3BB6">
              <w:rPr>
                <w:b/>
                <w:i/>
                <w:spacing w:val="-5"/>
                <w:sz w:val="22"/>
                <w:szCs w:val="22"/>
                <w:lang w:val="uk-UA" w:eastAsia="en-US"/>
              </w:rPr>
              <w:t xml:space="preserve"> </w:t>
            </w:r>
            <w:r w:rsidRPr="002D3BB6">
              <w:rPr>
                <w:b/>
                <w:i/>
                <w:sz w:val="22"/>
                <w:szCs w:val="22"/>
                <w:lang w:val="uk-UA" w:eastAsia="en-US"/>
              </w:rPr>
              <w:t>змінами))</w:t>
            </w:r>
          </w:p>
        </w:tc>
      </w:tr>
      <w:tr w:rsidR="002D3BB6" w:rsidRPr="002D3BB6" w:rsidTr="002D3BB6">
        <w:tc>
          <w:tcPr>
            <w:tcW w:w="426" w:type="dxa"/>
          </w:tcPr>
          <w:p w:rsidR="002D3BB6" w:rsidRPr="002D3BB6" w:rsidRDefault="002D3BB6" w:rsidP="002B10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86" w:type="dxa"/>
          </w:tcPr>
          <w:p w:rsidR="002D3BB6" w:rsidRPr="002D3BB6" w:rsidRDefault="002D3BB6" w:rsidP="002A1326">
            <w:pPr>
              <w:pStyle w:val="af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2D3BB6">
              <w:rPr>
                <w:b w:val="0"/>
                <w:sz w:val="22"/>
                <w:szCs w:val="22"/>
              </w:rPr>
              <w:t>Найменування, місцезнаходження та</w:t>
            </w:r>
            <w:r w:rsidRPr="002D3BB6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2D3BB6">
              <w:rPr>
                <w:b w:val="0"/>
                <w:sz w:val="22"/>
                <w:szCs w:val="22"/>
              </w:rPr>
              <w:t>ідентифікаційний код</w:t>
            </w:r>
            <w:r w:rsidRPr="002D3BB6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2D3BB6">
              <w:rPr>
                <w:b w:val="0"/>
                <w:sz w:val="22"/>
                <w:szCs w:val="22"/>
              </w:rPr>
              <w:t>замовника в Єдиному</w:t>
            </w:r>
            <w:r w:rsidRPr="002D3BB6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2D3BB6">
              <w:rPr>
                <w:b w:val="0"/>
                <w:sz w:val="22"/>
                <w:szCs w:val="22"/>
              </w:rPr>
              <w:t>державному реєстрі</w:t>
            </w:r>
            <w:r w:rsidRPr="002D3BB6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2D3BB6">
              <w:rPr>
                <w:b w:val="0"/>
                <w:sz w:val="22"/>
                <w:szCs w:val="22"/>
              </w:rPr>
              <w:t>юридичних осіб, фізичних</w:t>
            </w:r>
            <w:r w:rsidRPr="002D3BB6">
              <w:rPr>
                <w:b w:val="0"/>
                <w:spacing w:val="-58"/>
                <w:sz w:val="22"/>
                <w:szCs w:val="22"/>
              </w:rPr>
              <w:t xml:space="preserve"> </w:t>
            </w:r>
            <w:r w:rsidRPr="002D3BB6">
              <w:rPr>
                <w:b w:val="0"/>
                <w:sz w:val="22"/>
                <w:szCs w:val="22"/>
              </w:rPr>
              <w:t>осіб - підприємців та</w:t>
            </w:r>
            <w:r w:rsidRPr="002D3BB6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2D3BB6">
              <w:rPr>
                <w:b w:val="0"/>
                <w:sz w:val="22"/>
                <w:szCs w:val="22"/>
              </w:rPr>
              <w:t>громадських формувань,</w:t>
            </w:r>
            <w:r w:rsidRPr="002D3BB6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2D3BB6">
              <w:rPr>
                <w:b w:val="0"/>
                <w:sz w:val="22"/>
                <w:szCs w:val="22"/>
              </w:rPr>
              <w:t>його</w:t>
            </w:r>
            <w:r w:rsidRPr="002D3BB6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Pr="002D3BB6">
              <w:rPr>
                <w:b w:val="0"/>
                <w:sz w:val="22"/>
                <w:szCs w:val="22"/>
              </w:rPr>
              <w:t>категорія</w:t>
            </w:r>
          </w:p>
        </w:tc>
        <w:tc>
          <w:tcPr>
            <w:tcW w:w="6945" w:type="dxa"/>
          </w:tcPr>
          <w:p w:rsidR="002D3BB6" w:rsidRPr="00CF38E3" w:rsidRDefault="002D3BB6" w:rsidP="002A1326">
            <w:pPr>
              <w:pStyle w:val="TableParagraph"/>
              <w:spacing w:line="23" w:lineRule="atLeast"/>
              <w:ind w:left="0"/>
              <w:jc w:val="both"/>
            </w:pPr>
            <w:r w:rsidRPr="002D3BB6">
              <w:rPr>
                <w:b/>
              </w:rPr>
              <w:t xml:space="preserve">Виконавчий комітет </w:t>
            </w:r>
            <w:proofErr w:type="spellStart"/>
            <w:r w:rsidRPr="002D3BB6">
              <w:rPr>
                <w:b/>
              </w:rPr>
              <w:t>Белзької</w:t>
            </w:r>
            <w:proofErr w:type="spellEnd"/>
            <w:r w:rsidRPr="002D3BB6">
              <w:rPr>
                <w:b/>
              </w:rPr>
              <w:t xml:space="preserve"> міської ради Львівської області</w:t>
            </w:r>
            <w:r w:rsidRPr="00CF38E3">
              <w:t xml:space="preserve">, </w:t>
            </w:r>
          </w:p>
          <w:p w:rsidR="002D3BB6" w:rsidRPr="00CF38E3" w:rsidRDefault="002D3BB6" w:rsidP="002A1326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80062, Україна, Львівська область, місто</w:t>
            </w:r>
            <w:r w:rsidRPr="00CF38E3">
              <w:rPr>
                <w:spacing w:val="1"/>
              </w:rPr>
              <w:t xml:space="preserve"> </w:t>
            </w:r>
            <w:proofErr w:type="spellStart"/>
            <w:r w:rsidRPr="00CF38E3">
              <w:t>Белз</w:t>
            </w:r>
            <w:proofErr w:type="spellEnd"/>
            <w:r w:rsidRPr="00CF38E3">
              <w:t>, вул.</w:t>
            </w:r>
            <w:r w:rsidRPr="00CF38E3">
              <w:rPr>
                <w:spacing w:val="-1"/>
              </w:rPr>
              <w:t xml:space="preserve"> </w:t>
            </w:r>
            <w:r w:rsidRPr="00CF38E3">
              <w:t>Домініканська, буд</w:t>
            </w:r>
            <w:r w:rsidRPr="00CF38E3">
              <w:rPr>
                <w:spacing w:val="-1"/>
              </w:rPr>
              <w:t xml:space="preserve"> 1</w:t>
            </w:r>
            <w:r w:rsidRPr="00CF38E3">
              <w:t>,</w:t>
            </w:r>
            <w:r>
              <w:t xml:space="preserve"> </w:t>
            </w:r>
            <w:r w:rsidRPr="00CF38E3">
              <w:t>код</w:t>
            </w:r>
            <w:r w:rsidRPr="00CF38E3">
              <w:rPr>
                <w:spacing w:val="-2"/>
              </w:rPr>
              <w:t xml:space="preserve"> </w:t>
            </w:r>
            <w:r w:rsidRPr="00CF38E3">
              <w:t>за</w:t>
            </w:r>
            <w:r w:rsidRPr="00CF38E3">
              <w:rPr>
                <w:spacing w:val="-2"/>
              </w:rPr>
              <w:t xml:space="preserve"> </w:t>
            </w:r>
            <w:r w:rsidRPr="00CF38E3">
              <w:t>ЄДРПОУ 36739391,</w:t>
            </w:r>
          </w:p>
          <w:p w:rsidR="002D3BB6" w:rsidRPr="00CF38E3" w:rsidRDefault="00A17320" w:rsidP="002A1326">
            <w:pPr>
              <w:pStyle w:val="TableParagraph"/>
              <w:spacing w:line="23" w:lineRule="atLeast"/>
              <w:ind w:left="0"/>
              <w:jc w:val="both"/>
            </w:pPr>
            <w:r w:rsidRPr="00CE37E6">
              <w:rPr>
                <w:shd w:val="clear" w:color="auto" w:fill="FFFFFF"/>
              </w:rPr>
              <w:t>органи державної влади та органи місцевого самоврядування, зазначені у </w:t>
            </w:r>
            <w:hyperlink r:id="rId8" w:anchor="n795" w:history="1">
              <w:r w:rsidRPr="00CE37E6">
                <w:rPr>
                  <w:rStyle w:val="af5"/>
                  <w:shd w:val="clear" w:color="auto" w:fill="FFFFFF"/>
                </w:rPr>
                <w:t>пункті 1</w:t>
              </w:r>
            </w:hyperlink>
            <w:r w:rsidRPr="00CE37E6">
              <w:rPr>
                <w:shd w:val="clear" w:color="auto" w:fill="FFFFFF"/>
              </w:rPr>
              <w:t> частини першої  статті 2.</w:t>
            </w:r>
          </w:p>
        </w:tc>
      </w:tr>
      <w:tr w:rsidR="002D3BB6" w:rsidRPr="002D3BB6" w:rsidTr="002D3BB6">
        <w:tc>
          <w:tcPr>
            <w:tcW w:w="426" w:type="dxa"/>
          </w:tcPr>
          <w:p w:rsidR="002D3BB6" w:rsidRPr="002D3BB6" w:rsidRDefault="00A17320" w:rsidP="002B10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2D3BB6" w:rsidRPr="002D3BB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686" w:type="dxa"/>
          </w:tcPr>
          <w:p w:rsidR="002D3BB6" w:rsidRPr="002D3BB6" w:rsidRDefault="002D3BB6" w:rsidP="00D03934">
            <w:pPr>
              <w:rPr>
                <w:sz w:val="22"/>
                <w:szCs w:val="22"/>
                <w:lang w:val="uk-UA"/>
              </w:rPr>
            </w:pPr>
            <w:r w:rsidRPr="002D3BB6">
              <w:rPr>
                <w:sz w:val="22"/>
                <w:szCs w:val="22"/>
                <w:lang w:val="uk-UA"/>
              </w:rPr>
              <w:t>Назва предмета закупівлі</w:t>
            </w:r>
          </w:p>
        </w:tc>
        <w:tc>
          <w:tcPr>
            <w:tcW w:w="6945" w:type="dxa"/>
          </w:tcPr>
          <w:p w:rsidR="002D3BB6" w:rsidRPr="002D3BB6" w:rsidRDefault="002D3BB6" w:rsidP="00D03934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D3BB6">
              <w:rPr>
                <w:b/>
                <w:color w:val="000000"/>
                <w:sz w:val="22"/>
                <w:szCs w:val="22"/>
                <w:shd w:val="clear" w:color="auto" w:fill="FDFEFD"/>
                <w:lang w:val="uk-UA"/>
              </w:rPr>
              <w:t>ДК</w:t>
            </w:r>
            <w:proofErr w:type="spellEnd"/>
            <w:r w:rsidRPr="002D3BB6">
              <w:rPr>
                <w:b/>
                <w:color w:val="000000"/>
                <w:sz w:val="22"/>
                <w:szCs w:val="22"/>
                <w:shd w:val="clear" w:color="auto" w:fill="FDFEFD"/>
                <w:lang w:val="uk-UA"/>
              </w:rPr>
              <w:t xml:space="preserve"> 021:2015 – 09310000-5 – Електрична енергія (електрична енергія універсальна послуга)</w:t>
            </w:r>
            <w:r w:rsidRPr="002D3BB6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2D3BB6" w:rsidRPr="002D3BB6" w:rsidRDefault="002D3BB6" w:rsidP="002B1084">
            <w:pPr>
              <w:jc w:val="both"/>
              <w:rPr>
                <w:sz w:val="22"/>
                <w:szCs w:val="22"/>
                <w:lang w:val="uk-UA"/>
              </w:rPr>
            </w:pPr>
            <w:r w:rsidRPr="002D3BB6">
              <w:rPr>
                <w:sz w:val="22"/>
                <w:szCs w:val="22"/>
                <w:lang w:val="uk-UA"/>
              </w:rPr>
              <w:t xml:space="preserve">(ідентифікатор закупівлі: </w:t>
            </w:r>
            <w:r w:rsidRPr="002D3BB6">
              <w:rPr>
                <w:color w:val="000000"/>
                <w:sz w:val="22"/>
                <w:szCs w:val="22"/>
                <w:shd w:val="clear" w:color="auto" w:fill="F3F3F3"/>
              </w:rPr>
              <w:t>UA-2023-01-18-004491-a</w:t>
            </w:r>
            <w:r w:rsidRPr="002D3BB6">
              <w:rPr>
                <w:sz w:val="22"/>
                <w:szCs w:val="22"/>
                <w:lang w:val="uk-UA"/>
              </w:rPr>
              <w:t>)</w:t>
            </w:r>
          </w:p>
        </w:tc>
      </w:tr>
      <w:tr w:rsidR="00A17320" w:rsidRPr="002D3BB6" w:rsidTr="002D3BB6">
        <w:trPr>
          <w:trHeight w:val="699"/>
        </w:trPr>
        <w:tc>
          <w:tcPr>
            <w:tcW w:w="426" w:type="dxa"/>
          </w:tcPr>
          <w:p w:rsidR="00A17320" w:rsidRPr="002D3BB6" w:rsidRDefault="00A17320" w:rsidP="002B10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86" w:type="dxa"/>
          </w:tcPr>
          <w:p w:rsidR="00A17320" w:rsidRPr="00CF38E3" w:rsidRDefault="00A17320" w:rsidP="002A1326">
            <w:pPr>
              <w:pStyle w:val="af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sz w:val="22"/>
                <w:szCs w:val="22"/>
              </w:rPr>
              <w:t>Вид та ідентифікатор процедури закупівлі</w:t>
            </w:r>
          </w:p>
        </w:tc>
        <w:tc>
          <w:tcPr>
            <w:tcW w:w="6945" w:type="dxa"/>
          </w:tcPr>
          <w:p w:rsidR="00A17320" w:rsidRPr="00A17320" w:rsidRDefault="00A17320" w:rsidP="00F779C0">
            <w:pPr>
              <w:spacing w:line="276" w:lineRule="auto"/>
              <w:ind w:right="-38"/>
              <w:jc w:val="both"/>
              <w:rPr>
                <w:sz w:val="22"/>
                <w:szCs w:val="22"/>
                <w:shd w:val="clear" w:color="auto" w:fill="FDFEFD"/>
                <w:lang w:val="uk-UA" w:eastAsia="en-US"/>
              </w:rPr>
            </w:pPr>
            <w:r w:rsidRPr="00C52474">
              <w:rPr>
                <w:rFonts w:eastAsia="Arial"/>
                <w:sz w:val="22"/>
                <w:szCs w:val="22"/>
                <w:shd w:val="clear" w:color="auto" w:fill="FFFFFF"/>
                <w:lang w:val="uk-UA" w:eastAsia="ar-SA"/>
              </w:rPr>
              <w:t>звіт про договір про закупівлю, укладений без використання електронної системи закупівель</w:t>
            </w:r>
            <w:r>
              <w:rPr>
                <w:rFonts w:eastAsia="Arial"/>
                <w:sz w:val="22"/>
                <w:szCs w:val="22"/>
                <w:shd w:val="clear" w:color="auto" w:fill="FFFFFF"/>
                <w:lang w:val="uk-UA" w:eastAsia="ar-SA"/>
              </w:rPr>
              <w:t xml:space="preserve"> (</w:t>
            </w:r>
            <w:r>
              <w:t xml:space="preserve">аб.5 п.п.5 п.13 </w:t>
            </w:r>
            <w:proofErr w:type="spellStart"/>
            <w:r>
              <w:t>Особливостей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A17320" w:rsidRPr="002D3BB6" w:rsidTr="002D3BB6">
        <w:trPr>
          <w:trHeight w:val="699"/>
        </w:trPr>
        <w:tc>
          <w:tcPr>
            <w:tcW w:w="426" w:type="dxa"/>
          </w:tcPr>
          <w:p w:rsidR="00A17320" w:rsidRPr="002D3BB6" w:rsidRDefault="00A17320" w:rsidP="002B10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2D3BB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686" w:type="dxa"/>
          </w:tcPr>
          <w:p w:rsidR="00A17320" w:rsidRPr="002D3BB6" w:rsidRDefault="00A17320" w:rsidP="00D03934">
            <w:pPr>
              <w:rPr>
                <w:sz w:val="22"/>
                <w:szCs w:val="22"/>
                <w:lang w:val="uk-UA"/>
              </w:rPr>
            </w:pPr>
            <w:r w:rsidRPr="002D3BB6">
              <w:rPr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5" w:type="dxa"/>
          </w:tcPr>
          <w:p w:rsidR="00A17320" w:rsidRPr="002D3BB6" w:rsidRDefault="00A17320" w:rsidP="00F779C0">
            <w:pPr>
              <w:spacing w:line="276" w:lineRule="auto"/>
              <w:ind w:right="-38"/>
              <w:jc w:val="both"/>
              <w:rPr>
                <w:sz w:val="22"/>
                <w:szCs w:val="22"/>
                <w:lang w:val="uk-UA"/>
              </w:rPr>
            </w:pPr>
            <w:r w:rsidRPr="002D3BB6">
              <w:rPr>
                <w:sz w:val="22"/>
                <w:szCs w:val="22"/>
                <w:shd w:val="clear" w:color="auto" w:fill="FDFEFD"/>
                <w:lang w:val="uk-UA" w:eastAsia="en-US"/>
              </w:rPr>
              <w:t xml:space="preserve">Виконавчий комітет </w:t>
            </w:r>
            <w:proofErr w:type="spellStart"/>
            <w:r w:rsidRPr="002D3BB6">
              <w:rPr>
                <w:sz w:val="22"/>
                <w:szCs w:val="22"/>
                <w:shd w:val="clear" w:color="auto" w:fill="FDFEFD"/>
                <w:lang w:val="uk-UA" w:eastAsia="en-US"/>
              </w:rPr>
              <w:t>Белзької</w:t>
            </w:r>
            <w:proofErr w:type="spellEnd"/>
            <w:r w:rsidRPr="002D3BB6">
              <w:rPr>
                <w:sz w:val="22"/>
                <w:szCs w:val="22"/>
                <w:shd w:val="clear" w:color="auto" w:fill="FDFEFD"/>
                <w:lang w:val="uk-UA" w:eastAsia="en-US"/>
              </w:rPr>
              <w:t xml:space="preserve"> </w:t>
            </w:r>
            <w:r w:rsidRPr="002D3BB6">
              <w:rPr>
                <w:color w:val="000000"/>
                <w:sz w:val="22"/>
                <w:szCs w:val="22"/>
                <w:shd w:val="clear" w:color="auto" w:fill="FDFEFD"/>
                <w:lang w:val="uk-UA" w:eastAsia="en-US"/>
              </w:rPr>
              <w:t xml:space="preserve">міської ради Львівської області, відповідно до Закону України «Про ринок електричної енергії» № 2019-VIII відноситься до малих </w:t>
            </w:r>
            <w:proofErr w:type="spellStart"/>
            <w:r w:rsidRPr="002D3BB6">
              <w:rPr>
                <w:color w:val="000000"/>
                <w:sz w:val="22"/>
                <w:szCs w:val="22"/>
                <w:shd w:val="clear" w:color="auto" w:fill="FDFEFD"/>
                <w:lang w:val="uk-UA" w:eastAsia="en-US"/>
              </w:rPr>
              <w:t>непобутових</w:t>
            </w:r>
            <w:proofErr w:type="spellEnd"/>
            <w:r w:rsidRPr="002D3BB6">
              <w:rPr>
                <w:color w:val="000000"/>
                <w:sz w:val="22"/>
                <w:szCs w:val="22"/>
                <w:shd w:val="clear" w:color="auto" w:fill="FDFEFD"/>
                <w:lang w:val="uk-UA" w:eastAsia="en-US"/>
              </w:rPr>
              <w:t xml:space="preserve"> споживачів та має право бути забезпеченим електричною енергією визначеної якості на умовах, визначених відповідно до ст. 63 Закону № 2019-VIII, а саме на умовах уніве</w:t>
            </w:r>
            <w:bookmarkStart w:id="0" w:name="_GoBack"/>
            <w:bookmarkEnd w:id="0"/>
            <w:r w:rsidRPr="002D3BB6">
              <w:rPr>
                <w:color w:val="000000"/>
                <w:sz w:val="22"/>
                <w:szCs w:val="22"/>
                <w:shd w:val="clear" w:color="auto" w:fill="FDFEFD"/>
                <w:lang w:val="uk-UA" w:eastAsia="en-US"/>
              </w:rPr>
              <w:t>рсальної послуги. 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закупівель, визначених ст. 5 ЗУ «Про публічні закупівлі», а саме: максимальну економію та ефективність, відкритість та прозорість, недискримінацію учасників, запобігання корупційним діям і зловживанням.</w:t>
            </w:r>
            <w:r w:rsidRPr="002D3BB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Відповідно</w:t>
            </w:r>
            <w:proofErr w:type="spellEnd"/>
            <w:r w:rsidRPr="002D3BB6">
              <w:rPr>
                <w:sz w:val="22"/>
                <w:szCs w:val="22"/>
              </w:rPr>
              <w:t xml:space="preserve"> до </w:t>
            </w:r>
            <w:proofErr w:type="spellStart"/>
            <w:r w:rsidRPr="002D3BB6">
              <w:rPr>
                <w:sz w:val="22"/>
                <w:szCs w:val="22"/>
              </w:rPr>
              <w:t>частини</w:t>
            </w:r>
            <w:proofErr w:type="spellEnd"/>
            <w:r w:rsidRPr="002D3BB6">
              <w:rPr>
                <w:sz w:val="22"/>
                <w:szCs w:val="22"/>
              </w:rPr>
              <w:t xml:space="preserve"> 3 </w:t>
            </w:r>
            <w:proofErr w:type="spellStart"/>
            <w:r w:rsidRPr="002D3BB6">
              <w:rPr>
                <w:sz w:val="22"/>
                <w:szCs w:val="22"/>
              </w:rPr>
              <w:t>статті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bookmarkStart w:id="1" w:name="_Hlk54860399"/>
            <w:r w:rsidRPr="002D3BB6">
              <w:rPr>
                <w:sz w:val="22"/>
                <w:szCs w:val="22"/>
              </w:rPr>
              <w:t xml:space="preserve">63 Закону </w:t>
            </w:r>
            <w:bookmarkEnd w:id="1"/>
            <w:proofErr w:type="spellStart"/>
            <w:r w:rsidRPr="002D3BB6">
              <w:rPr>
                <w:sz w:val="22"/>
                <w:szCs w:val="22"/>
              </w:rPr>
              <w:t>постачальник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надає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універсальні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послуги</w:t>
            </w:r>
            <w:proofErr w:type="spellEnd"/>
            <w:r w:rsidRPr="002D3BB6">
              <w:rPr>
                <w:sz w:val="22"/>
                <w:szCs w:val="22"/>
              </w:rPr>
              <w:t xml:space="preserve"> за </w:t>
            </w:r>
            <w:proofErr w:type="spellStart"/>
            <w:r w:rsidRPr="002D3BB6">
              <w:rPr>
                <w:sz w:val="22"/>
                <w:szCs w:val="22"/>
              </w:rPr>
              <w:t>економічно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обґрунтованими</w:t>
            </w:r>
            <w:proofErr w:type="spellEnd"/>
            <w:r w:rsidRPr="002D3BB6">
              <w:rPr>
                <w:sz w:val="22"/>
                <w:szCs w:val="22"/>
              </w:rPr>
              <w:t xml:space="preserve">, </w:t>
            </w:r>
            <w:proofErr w:type="spellStart"/>
            <w:r w:rsidRPr="002D3BB6">
              <w:rPr>
                <w:sz w:val="22"/>
                <w:szCs w:val="22"/>
              </w:rPr>
              <w:t>прозорими</w:t>
            </w:r>
            <w:proofErr w:type="spellEnd"/>
            <w:r w:rsidRPr="002D3BB6">
              <w:rPr>
                <w:sz w:val="22"/>
                <w:szCs w:val="22"/>
              </w:rPr>
              <w:t xml:space="preserve"> та </w:t>
            </w:r>
            <w:proofErr w:type="spellStart"/>
            <w:r w:rsidRPr="002D3BB6">
              <w:rPr>
                <w:sz w:val="22"/>
                <w:szCs w:val="22"/>
              </w:rPr>
              <w:t>недискримінаційними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цінами</w:t>
            </w:r>
            <w:proofErr w:type="spellEnd"/>
            <w:r w:rsidRPr="002D3BB6">
              <w:rPr>
                <w:sz w:val="22"/>
                <w:szCs w:val="22"/>
              </w:rPr>
              <w:t xml:space="preserve">, </w:t>
            </w:r>
            <w:proofErr w:type="spellStart"/>
            <w:r w:rsidRPr="002D3BB6">
              <w:rPr>
                <w:sz w:val="22"/>
                <w:szCs w:val="22"/>
              </w:rPr>
              <w:t>що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формуються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відповідно</w:t>
            </w:r>
            <w:proofErr w:type="spellEnd"/>
            <w:r w:rsidRPr="002D3BB6">
              <w:rPr>
                <w:sz w:val="22"/>
                <w:szCs w:val="22"/>
              </w:rPr>
              <w:t xml:space="preserve"> до методики (порядку), </w:t>
            </w:r>
            <w:proofErr w:type="spellStart"/>
            <w:r w:rsidRPr="002D3BB6">
              <w:rPr>
                <w:sz w:val="22"/>
                <w:szCs w:val="22"/>
              </w:rPr>
              <w:t>затвердженої</w:t>
            </w:r>
            <w:proofErr w:type="spellEnd"/>
            <w:r w:rsidRPr="002D3BB6">
              <w:rPr>
                <w:sz w:val="22"/>
                <w:szCs w:val="22"/>
              </w:rPr>
              <w:t xml:space="preserve"> Регулятором, та </w:t>
            </w:r>
            <w:proofErr w:type="spellStart"/>
            <w:r w:rsidRPr="002D3BB6">
              <w:rPr>
                <w:sz w:val="22"/>
                <w:szCs w:val="22"/>
              </w:rPr>
              <w:t>включають</w:t>
            </w:r>
            <w:proofErr w:type="spellEnd"/>
            <w:r w:rsidRPr="002D3BB6">
              <w:rPr>
                <w:sz w:val="22"/>
                <w:szCs w:val="22"/>
              </w:rPr>
              <w:t xml:space="preserve">, </w:t>
            </w:r>
            <w:proofErr w:type="spellStart"/>
            <w:r w:rsidRPr="002D3BB6">
              <w:rPr>
                <w:sz w:val="22"/>
                <w:szCs w:val="22"/>
              </w:rPr>
              <w:t>зокрема</w:t>
            </w:r>
            <w:proofErr w:type="spellEnd"/>
            <w:r w:rsidRPr="002D3BB6">
              <w:rPr>
                <w:sz w:val="22"/>
                <w:szCs w:val="22"/>
              </w:rPr>
              <w:t xml:space="preserve">, </w:t>
            </w:r>
            <w:proofErr w:type="spellStart"/>
            <w:r w:rsidRPr="002D3BB6">
              <w:rPr>
                <w:sz w:val="22"/>
                <w:szCs w:val="22"/>
              </w:rPr>
              <w:t>ціну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купі</w:t>
            </w:r>
            <w:proofErr w:type="gramStart"/>
            <w:r w:rsidRPr="002D3BB6">
              <w:rPr>
                <w:sz w:val="22"/>
                <w:szCs w:val="22"/>
              </w:rPr>
              <w:t>вл</w:t>
            </w:r>
            <w:proofErr w:type="gramEnd"/>
            <w:r w:rsidRPr="002D3BB6">
              <w:rPr>
                <w:sz w:val="22"/>
                <w:szCs w:val="22"/>
              </w:rPr>
              <w:t>і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електричної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енергії</w:t>
            </w:r>
            <w:proofErr w:type="spellEnd"/>
            <w:r w:rsidRPr="002D3BB6">
              <w:rPr>
                <w:sz w:val="22"/>
                <w:szCs w:val="22"/>
              </w:rPr>
              <w:t xml:space="preserve"> на ринку </w:t>
            </w:r>
            <w:proofErr w:type="spellStart"/>
            <w:r w:rsidRPr="002D3BB6">
              <w:rPr>
                <w:sz w:val="22"/>
                <w:szCs w:val="22"/>
              </w:rPr>
              <w:t>електричної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енергії</w:t>
            </w:r>
            <w:proofErr w:type="spellEnd"/>
            <w:r w:rsidRPr="002D3BB6">
              <w:rPr>
                <w:sz w:val="22"/>
                <w:szCs w:val="22"/>
              </w:rPr>
              <w:t xml:space="preserve">, </w:t>
            </w:r>
            <w:proofErr w:type="spellStart"/>
            <w:r w:rsidRPr="002D3BB6">
              <w:rPr>
                <w:sz w:val="22"/>
                <w:szCs w:val="22"/>
              </w:rPr>
              <w:t>ціну</w:t>
            </w:r>
            <w:proofErr w:type="spellEnd"/>
            <w:r w:rsidRPr="002D3BB6">
              <w:rPr>
                <w:sz w:val="22"/>
                <w:szCs w:val="22"/>
              </w:rPr>
              <w:t xml:space="preserve"> (тариф) на </w:t>
            </w:r>
            <w:proofErr w:type="spellStart"/>
            <w:r w:rsidRPr="002D3BB6">
              <w:rPr>
                <w:sz w:val="22"/>
                <w:szCs w:val="22"/>
              </w:rPr>
              <w:t>послуги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постачальника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універсальних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послуг</w:t>
            </w:r>
            <w:proofErr w:type="spellEnd"/>
            <w:r w:rsidRPr="002D3BB6">
              <w:rPr>
                <w:sz w:val="22"/>
                <w:szCs w:val="22"/>
              </w:rPr>
              <w:t xml:space="preserve">, </w:t>
            </w:r>
            <w:proofErr w:type="spellStart"/>
            <w:r w:rsidRPr="002D3BB6">
              <w:rPr>
                <w:sz w:val="22"/>
                <w:szCs w:val="22"/>
              </w:rPr>
              <w:t>ціни</w:t>
            </w:r>
            <w:proofErr w:type="spellEnd"/>
            <w:r w:rsidRPr="002D3BB6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2D3BB6">
              <w:rPr>
                <w:sz w:val="22"/>
                <w:szCs w:val="22"/>
              </w:rPr>
              <w:t>тарифи</w:t>
            </w:r>
            <w:proofErr w:type="spellEnd"/>
            <w:r w:rsidRPr="002D3BB6">
              <w:rPr>
                <w:sz w:val="22"/>
                <w:szCs w:val="22"/>
              </w:rPr>
              <w:t xml:space="preserve">) на </w:t>
            </w:r>
            <w:proofErr w:type="spellStart"/>
            <w:r w:rsidRPr="002D3BB6">
              <w:rPr>
                <w:sz w:val="22"/>
                <w:szCs w:val="22"/>
              </w:rPr>
              <w:t>послуги</w:t>
            </w:r>
            <w:proofErr w:type="spellEnd"/>
            <w:r w:rsidRPr="002D3BB6">
              <w:rPr>
                <w:sz w:val="22"/>
                <w:szCs w:val="22"/>
              </w:rPr>
              <w:t xml:space="preserve"> оператора </w:t>
            </w:r>
            <w:proofErr w:type="spellStart"/>
            <w:r w:rsidRPr="002D3BB6">
              <w:rPr>
                <w:sz w:val="22"/>
                <w:szCs w:val="22"/>
              </w:rPr>
              <w:t>системи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передачі</w:t>
            </w:r>
            <w:proofErr w:type="spellEnd"/>
            <w:r w:rsidRPr="002D3BB6">
              <w:rPr>
                <w:sz w:val="22"/>
                <w:szCs w:val="22"/>
              </w:rPr>
              <w:t xml:space="preserve"> та оператора </w:t>
            </w:r>
            <w:proofErr w:type="spellStart"/>
            <w:r w:rsidRPr="002D3BB6">
              <w:rPr>
                <w:sz w:val="22"/>
                <w:szCs w:val="22"/>
              </w:rPr>
              <w:t>системи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розподілу</w:t>
            </w:r>
            <w:proofErr w:type="spellEnd"/>
            <w:r w:rsidRPr="002D3BB6">
              <w:rPr>
                <w:sz w:val="22"/>
                <w:szCs w:val="22"/>
              </w:rPr>
              <w:t>.</w:t>
            </w:r>
            <w:proofErr w:type="gramEnd"/>
            <w:r w:rsidRPr="002D3BB6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2D3BB6">
              <w:rPr>
                <w:sz w:val="22"/>
                <w:szCs w:val="22"/>
              </w:rPr>
              <w:t>ТОВ</w:t>
            </w:r>
            <w:proofErr w:type="gramEnd"/>
            <w:r w:rsidRPr="002D3BB6">
              <w:rPr>
                <w:sz w:val="22"/>
                <w:szCs w:val="22"/>
              </w:rPr>
              <w:t xml:space="preserve"> «</w:t>
            </w:r>
            <w:proofErr w:type="spellStart"/>
            <w:r w:rsidRPr="002D3BB6">
              <w:rPr>
                <w:sz w:val="22"/>
                <w:szCs w:val="22"/>
              </w:rPr>
              <w:t>Львівенергозбут</w:t>
            </w:r>
            <w:proofErr w:type="spellEnd"/>
            <w:r w:rsidRPr="002D3BB6">
              <w:rPr>
                <w:sz w:val="22"/>
                <w:szCs w:val="22"/>
              </w:rPr>
              <w:t xml:space="preserve">» </w:t>
            </w:r>
            <w:proofErr w:type="spellStart"/>
            <w:r w:rsidRPr="002D3BB6">
              <w:rPr>
                <w:sz w:val="22"/>
                <w:szCs w:val="22"/>
              </w:rPr>
              <w:t>включене</w:t>
            </w:r>
            <w:proofErr w:type="spellEnd"/>
            <w:r w:rsidRPr="002D3BB6">
              <w:rPr>
                <w:sz w:val="22"/>
                <w:szCs w:val="22"/>
              </w:rPr>
              <w:t xml:space="preserve"> до </w:t>
            </w:r>
            <w:proofErr w:type="spellStart"/>
            <w:r w:rsidRPr="002D3BB6">
              <w:rPr>
                <w:sz w:val="22"/>
                <w:szCs w:val="22"/>
              </w:rPr>
              <w:t>Переліку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постачальників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універсальних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послуг</w:t>
            </w:r>
            <w:proofErr w:type="spellEnd"/>
            <w:r w:rsidRPr="002D3BB6">
              <w:rPr>
                <w:sz w:val="22"/>
                <w:szCs w:val="22"/>
              </w:rPr>
              <w:t xml:space="preserve"> на </w:t>
            </w:r>
            <w:proofErr w:type="spellStart"/>
            <w:r w:rsidRPr="002D3BB6">
              <w:rPr>
                <w:sz w:val="22"/>
                <w:szCs w:val="22"/>
              </w:rPr>
              <w:t>закріпленій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території</w:t>
            </w:r>
            <w:proofErr w:type="spellEnd"/>
            <w:r w:rsidRPr="002D3BB6">
              <w:rPr>
                <w:sz w:val="22"/>
                <w:szCs w:val="22"/>
              </w:rPr>
              <w:t xml:space="preserve">, </w:t>
            </w:r>
            <w:proofErr w:type="spellStart"/>
            <w:r w:rsidRPr="002D3BB6">
              <w:rPr>
                <w:sz w:val="22"/>
                <w:szCs w:val="22"/>
              </w:rPr>
              <w:t>затвердженого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постановою</w:t>
            </w:r>
            <w:proofErr w:type="spellEnd"/>
            <w:r w:rsidRPr="002D3BB6">
              <w:rPr>
                <w:sz w:val="22"/>
                <w:szCs w:val="22"/>
              </w:rPr>
              <w:t xml:space="preserve"> НКРЕКП «Про </w:t>
            </w:r>
            <w:proofErr w:type="spellStart"/>
            <w:r w:rsidRPr="002D3BB6">
              <w:rPr>
                <w:sz w:val="22"/>
                <w:szCs w:val="22"/>
              </w:rPr>
              <w:t>затвердження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Методичних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рекомендацій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щодо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передачі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даних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побутових</w:t>
            </w:r>
            <w:proofErr w:type="spellEnd"/>
            <w:r w:rsidRPr="002D3BB6">
              <w:rPr>
                <w:sz w:val="22"/>
                <w:szCs w:val="22"/>
              </w:rPr>
              <w:t xml:space="preserve"> та </w:t>
            </w:r>
            <w:proofErr w:type="spellStart"/>
            <w:r w:rsidRPr="002D3BB6">
              <w:rPr>
                <w:sz w:val="22"/>
                <w:szCs w:val="22"/>
              </w:rPr>
              <w:t>малих</w:t>
            </w:r>
            <w:proofErr w:type="spellEnd"/>
            <w:r w:rsidRPr="002D3BB6">
              <w:rPr>
                <w:sz w:val="22"/>
                <w:szCs w:val="22"/>
              </w:rPr>
              <w:t xml:space="preserve"> не </w:t>
            </w:r>
            <w:proofErr w:type="spellStart"/>
            <w:r w:rsidRPr="002D3BB6">
              <w:rPr>
                <w:sz w:val="22"/>
                <w:szCs w:val="22"/>
              </w:rPr>
              <w:t>побутових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споживачів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постачальнику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електричної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енергії</w:t>
            </w:r>
            <w:proofErr w:type="spellEnd"/>
            <w:r w:rsidRPr="002D3BB6">
              <w:rPr>
                <w:sz w:val="22"/>
                <w:szCs w:val="22"/>
              </w:rPr>
              <w:t xml:space="preserve">, на </w:t>
            </w:r>
            <w:proofErr w:type="spellStart"/>
            <w:r w:rsidRPr="002D3BB6">
              <w:rPr>
                <w:sz w:val="22"/>
                <w:szCs w:val="22"/>
              </w:rPr>
              <w:t>якого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відповідно</w:t>
            </w:r>
            <w:proofErr w:type="spellEnd"/>
            <w:r w:rsidRPr="002D3BB6">
              <w:rPr>
                <w:sz w:val="22"/>
                <w:szCs w:val="22"/>
              </w:rPr>
              <w:t xml:space="preserve"> до Закону </w:t>
            </w:r>
            <w:proofErr w:type="spellStart"/>
            <w:r w:rsidRPr="002D3BB6">
              <w:rPr>
                <w:sz w:val="22"/>
                <w:szCs w:val="22"/>
              </w:rPr>
              <w:t>України</w:t>
            </w:r>
            <w:proofErr w:type="spellEnd"/>
            <w:r w:rsidRPr="002D3BB6">
              <w:rPr>
                <w:sz w:val="22"/>
                <w:szCs w:val="22"/>
              </w:rPr>
              <w:t xml:space="preserve"> «Про </w:t>
            </w:r>
            <w:proofErr w:type="spellStart"/>
            <w:r w:rsidRPr="002D3BB6">
              <w:rPr>
                <w:sz w:val="22"/>
                <w:szCs w:val="22"/>
              </w:rPr>
              <w:t>ринок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електричної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енергії</w:t>
            </w:r>
            <w:proofErr w:type="spellEnd"/>
            <w:r w:rsidRPr="002D3BB6">
              <w:rPr>
                <w:sz w:val="22"/>
                <w:szCs w:val="22"/>
              </w:rPr>
              <w:t xml:space="preserve">» </w:t>
            </w:r>
            <w:proofErr w:type="spellStart"/>
            <w:r w:rsidRPr="002D3BB6">
              <w:rPr>
                <w:sz w:val="22"/>
                <w:szCs w:val="22"/>
              </w:rPr>
              <w:t>покладається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виконання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функції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універсальної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послуги</w:t>
            </w:r>
            <w:proofErr w:type="spellEnd"/>
            <w:r w:rsidRPr="002D3BB6">
              <w:rPr>
                <w:sz w:val="22"/>
                <w:szCs w:val="22"/>
              </w:rPr>
              <w:t xml:space="preserve"> на </w:t>
            </w:r>
            <w:proofErr w:type="spellStart"/>
            <w:r w:rsidRPr="002D3BB6">
              <w:rPr>
                <w:sz w:val="22"/>
                <w:szCs w:val="22"/>
              </w:rPr>
              <w:t>закріпленій</w:t>
            </w:r>
            <w:proofErr w:type="spellEnd"/>
            <w:r w:rsidRPr="002D3BB6">
              <w:rPr>
                <w:sz w:val="22"/>
                <w:szCs w:val="22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території</w:t>
            </w:r>
            <w:proofErr w:type="spellEnd"/>
            <w:r w:rsidRPr="002D3BB6">
              <w:rPr>
                <w:sz w:val="22"/>
                <w:szCs w:val="22"/>
              </w:rPr>
              <w:t xml:space="preserve">» №1268 </w:t>
            </w:r>
            <w:proofErr w:type="spellStart"/>
            <w:r w:rsidRPr="002D3BB6">
              <w:rPr>
                <w:sz w:val="22"/>
                <w:szCs w:val="22"/>
              </w:rPr>
              <w:t>від</w:t>
            </w:r>
            <w:proofErr w:type="spellEnd"/>
            <w:r w:rsidRPr="002D3BB6">
              <w:rPr>
                <w:sz w:val="22"/>
                <w:szCs w:val="22"/>
              </w:rPr>
              <w:t xml:space="preserve"> 26.10.2018 р.</w:t>
            </w:r>
            <w:r w:rsidRPr="002D3BB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D3BB6">
              <w:rPr>
                <w:sz w:val="22"/>
                <w:szCs w:val="22"/>
              </w:rPr>
              <w:t>Відповідно</w:t>
            </w:r>
            <w:proofErr w:type="spellEnd"/>
            <w:r w:rsidRPr="002D3BB6">
              <w:rPr>
                <w:sz w:val="22"/>
                <w:szCs w:val="22"/>
              </w:rPr>
              <w:t xml:space="preserve"> до ч. 2 ст. 63 </w:t>
            </w:r>
            <w:r w:rsidRPr="00A17320">
              <w:rPr>
                <w:sz w:val="22"/>
                <w:szCs w:val="22"/>
              </w:rPr>
              <w:t xml:space="preserve">Закону </w:t>
            </w:r>
            <w:r w:rsidRPr="00A17320">
              <w:rPr>
                <w:bCs/>
                <w:sz w:val="22"/>
                <w:szCs w:val="22"/>
              </w:rPr>
              <w:t xml:space="preserve">у межах </w:t>
            </w:r>
            <w:proofErr w:type="spellStart"/>
            <w:r w:rsidRPr="00A17320">
              <w:rPr>
                <w:bCs/>
                <w:sz w:val="22"/>
                <w:szCs w:val="22"/>
              </w:rPr>
              <w:t>території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здійснення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діяльності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одного </w:t>
            </w:r>
            <w:proofErr w:type="spellStart"/>
            <w:r w:rsidRPr="00A17320">
              <w:rPr>
                <w:bCs/>
                <w:sz w:val="22"/>
                <w:szCs w:val="22"/>
              </w:rPr>
              <w:t>постачальника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універсальних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послуг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не </w:t>
            </w:r>
            <w:proofErr w:type="spellStart"/>
            <w:proofErr w:type="gramStart"/>
            <w:r w:rsidRPr="00A17320">
              <w:rPr>
                <w:bCs/>
                <w:sz w:val="22"/>
                <w:szCs w:val="22"/>
              </w:rPr>
              <w:t>допускається</w:t>
            </w:r>
            <w:proofErr w:type="spellEnd"/>
            <w:proofErr w:type="gram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здійснення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діяльності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іншими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постачальниками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універсальних</w:t>
            </w:r>
            <w:proofErr w:type="spellEnd"/>
            <w:r w:rsidRPr="00A173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7320">
              <w:rPr>
                <w:bCs/>
                <w:sz w:val="22"/>
                <w:szCs w:val="22"/>
              </w:rPr>
              <w:t>послуг</w:t>
            </w:r>
            <w:proofErr w:type="spellEnd"/>
            <w:r w:rsidRPr="00A17320">
              <w:rPr>
                <w:bCs/>
                <w:sz w:val="22"/>
                <w:szCs w:val="22"/>
              </w:rPr>
              <w:t>.</w:t>
            </w:r>
            <w:r w:rsidRPr="00A17320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A17320">
              <w:rPr>
                <w:sz w:val="22"/>
                <w:szCs w:val="22"/>
                <w:lang w:val="uk-UA"/>
              </w:rPr>
              <w:t>ТОВ «</w:t>
            </w:r>
            <w:proofErr w:type="spellStart"/>
            <w:r w:rsidRPr="00A17320">
              <w:rPr>
                <w:sz w:val="22"/>
                <w:szCs w:val="22"/>
                <w:lang w:val="uk-UA"/>
              </w:rPr>
              <w:t>Львівенергозбут</w:t>
            </w:r>
            <w:proofErr w:type="spellEnd"/>
            <w:r w:rsidRPr="00A17320">
              <w:rPr>
                <w:sz w:val="22"/>
                <w:szCs w:val="22"/>
                <w:lang w:val="uk-UA"/>
              </w:rPr>
              <w:t>», яке створене в результаті</w:t>
            </w:r>
            <w:r w:rsidRPr="002D3BB6">
              <w:rPr>
                <w:sz w:val="22"/>
                <w:szCs w:val="22"/>
                <w:lang w:val="uk-UA"/>
              </w:rPr>
              <w:t xml:space="preserve"> здійснення заходів з відокремлення оператора системи розподілу, упродовж п’яти років (з 01 січня 2019 року до 31 грудня 2023 року) виконує функції постачальника універсальних послуг на закріпленій території – адміністративній території Львівської  області. Отже ТОВ «</w:t>
            </w:r>
            <w:proofErr w:type="spellStart"/>
            <w:r w:rsidRPr="002D3BB6">
              <w:rPr>
                <w:sz w:val="22"/>
                <w:szCs w:val="22"/>
                <w:lang w:val="uk-UA"/>
              </w:rPr>
              <w:t>Львівенергозбут</w:t>
            </w:r>
            <w:proofErr w:type="spellEnd"/>
            <w:r w:rsidRPr="002D3BB6">
              <w:rPr>
                <w:sz w:val="22"/>
                <w:szCs w:val="22"/>
                <w:lang w:val="uk-UA"/>
              </w:rPr>
              <w:t xml:space="preserve">» є єдиним постачальником універсальної послуги постачання електричної енергії на території розташування здійснення діяльності </w:t>
            </w:r>
            <w:proofErr w:type="spellStart"/>
            <w:r w:rsidRPr="002D3BB6">
              <w:rPr>
                <w:sz w:val="22"/>
                <w:szCs w:val="22"/>
                <w:lang w:val="uk-UA"/>
              </w:rPr>
              <w:t>замовника</w:t>
            </w:r>
            <w:proofErr w:type="spellEnd"/>
            <w:r w:rsidRPr="002D3BB6">
              <w:rPr>
                <w:sz w:val="22"/>
                <w:szCs w:val="22"/>
                <w:lang w:val="uk-UA"/>
              </w:rPr>
              <w:t xml:space="preserve"> -  Львівської області.</w:t>
            </w:r>
          </w:p>
        </w:tc>
      </w:tr>
      <w:tr w:rsidR="00A17320" w:rsidRPr="002D3BB6" w:rsidTr="002D3BB6">
        <w:tc>
          <w:tcPr>
            <w:tcW w:w="426" w:type="dxa"/>
          </w:tcPr>
          <w:p w:rsidR="00A17320" w:rsidRPr="002D3BB6" w:rsidRDefault="00A17320" w:rsidP="002B10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2D3BB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686" w:type="dxa"/>
          </w:tcPr>
          <w:p w:rsidR="00A17320" w:rsidRPr="002D3BB6" w:rsidRDefault="00A17320" w:rsidP="00D03934">
            <w:pPr>
              <w:rPr>
                <w:sz w:val="22"/>
                <w:szCs w:val="22"/>
                <w:lang w:val="uk-UA"/>
              </w:rPr>
            </w:pPr>
            <w:r w:rsidRPr="002D3BB6">
              <w:rPr>
                <w:sz w:val="22"/>
                <w:szCs w:val="22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5" w:type="dxa"/>
          </w:tcPr>
          <w:p w:rsidR="00A17320" w:rsidRPr="002D3BB6" w:rsidRDefault="00A17320" w:rsidP="001774ED">
            <w:pPr>
              <w:spacing w:after="24" w:line="228" w:lineRule="auto"/>
              <w:ind w:left="10" w:firstLine="10"/>
              <w:rPr>
                <w:sz w:val="22"/>
                <w:szCs w:val="22"/>
                <w:lang w:val="uk-UA" w:eastAsia="uk-UA"/>
              </w:rPr>
            </w:pPr>
            <w:r w:rsidRPr="002D3BB6">
              <w:rPr>
                <w:sz w:val="22"/>
                <w:szCs w:val="22"/>
                <w:lang w:val="uk-UA" w:eastAsia="uk-UA"/>
              </w:rPr>
              <w:t xml:space="preserve">Визначення очікуваної вартості предмета закупівлі складено з урахуванням рекомендацій «Примірної методики визначення очікуваної вартості предмета </w:t>
            </w:r>
            <w:proofErr w:type="spellStart"/>
            <w:r w:rsidRPr="002D3BB6">
              <w:rPr>
                <w:sz w:val="22"/>
                <w:szCs w:val="22"/>
                <w:lang w:val="uk-UA" w:eastAsia="uk-UA"/>
              </w:rPr>
              <w:t>закупівлі“</w:t>
            </w:r>
            <w:proofErr w:type="spellEnd"/>
            <w:r w:rsidRPr="002D3BB6">
              <w:rPr>
                <w:sz w:val="22"/>
                <w:szCs w:val="22"/>
                <w:lang w:val="uk-UA" w:eastAsia="uk-UA"/>
              </w:rPr>
              <w:t>,</w:t>
            </w:r>
            <w:r w:rsidRPr="002D3BB6">
              <w:rPr>
                <w:sz w:val="22"/>
                <w:szCs w:val="22"/>
                <w:lang w:val="uk-UA" w:eastAsia="uk-UA"/>
              </w:rPr>
              <w:tab/>
              <w:t>затвердженої</w:t>
            </w:r>
            <w:r w:rsidRPr="002D3BB6">
              <w:rPr>
                <w:sz w:val="22"/>
                <w:szCs w:val="22"/>
                <w:lang w:val="uk-UA" w:eastAsia="uk-UA"/>
              </w:rPr>
              <w:tab/>
              <w:t xml:space="preserve">наказом  </w:t>
            </w:r>
            <w:r w:rsidRPr="002D3BB6">
              <w:rPr>
                <w:sz w:val="22"/>
                <w:szCs w:val="22"/>
                <w:lang w:val="uk-UA"/>
              </w:rPr>
              <w:lastRenderedPageBreak/>
              <w:t>Міністерства розвитку економіки, торгівлі та сільського господарства України  від 18.02.2020 № 275</w:t>
            </w:r>
            <w:r w:rsidRPr="002D3BB6">
              <w:rPr>
                <w:sz w:val="22"/>
                <w:szCs w:val="22"/>
                <w:lang w:val="uk-UA"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</w:t>
            </w:r>
            <w:proofErr w:type="spellStart"/>
            <w:r w:rsidRPr="002D3BB6">
              <w:rPr>
                <w:sz w:val="22"/>
                <w:szCs w:val="22"/>
                <w:lang w:val="uk-UA" w:eastAsia="uk-UA"/>
              </w:rPr>
              <w:t>інтернет</w:t>
            </w:r>
            <w:proofErr w:type="spellEnd"/>
            <w:r w:rsidRPr="002D3BB6">
              <w:rPr>
                <w:sz w:val="22"/>
                <w:szCs w:val="22"/>
                <w:lang w:val="uk-UA" w:eastAsia="uk-UA"/>
              </w:rPr>
              <w:t>, спеціалізованих торговельних майданчиках, в електронних каталогах, в електронній системі закупівель «</w:t>
            </w:r>
            <w:proofErr w:type="spellStart"/>
            <w:r w:rsidRPr="002D3BB6">
              <w:rPr>
                <w:sz w:val="22"/>
                <w:szCs w:val="22"/>
                <w:lang w:val="uk-UA" w:eastAsia="uk-UA"/>
              </w:rPr>
              <w:t>Прозорро</w:t>
            </w:r>
            <w:proofErr w:type="spellEnd"/>
            <w:r w:rsidRPr="002D3BB6">
              <w:rPr>
                <w:sz w:val="22"/>
                <w:szCs w:val="22"/>
                <w:lang w:val="uk-UA" w:eastAsia="uk-UA"/>
              </w:rPr>
              <w:t>».</w:t>
            </w:r>
          </w:p>
          <w:p w:rsidR="00A17320" w:rsidRPr="002D3BB6" w:rsidRDefault="00A17320" w:rsidP="002D3BB6">
            <w:pPr>
              <w:jc w:val="both"/>
              <w:rPr>
                <w:sz w:val="22"/>
                <w:szCs w:val="22"/>
                <w:lang w:val="uk-UA"/>
              </w:rPr>
            </w:pPr>
            <w:r w:rsidRPr="002D3BB6">
              <w:rPr>
                <w:sz w:val="22"/>
                <w:szCs w:val="22"/>
                <w:lang w:val="uk-UA"/>
              </w:rPr>
              <w:t>Розмір бюджетного призначення на зазначену закупівлю складає 650 000,00 грн.</w:t>
            </w:r>
          </w:p>
        </w:tc>
      </w:tr>
    </w:tbl>
    <w:p w:rsidR="002A3F11" w:rsidRPr="00D03934" w:rsidRDefault="002A3F11" w:rsidP="002A3F11">
      <w:pPr>
        <w:rPr>
          <w:sz w:val="28"/>
          <w:szCs w:val="28"/>
        </w:rPr>
      </w:pPr>
    </w:p>
    <w:p w:rsidR="00D03934" w:rsidRPr="00D03934" w:rsidRDefault="00D03934" w:rsidP="002A3F11">
      <w:pPr>
        <w:rPr>
          <w:sz w:val="28"/>
          <w:szCs w:val="28"/>
          <w:lang w:val="uk-UA"/>
        </w:rPr>
      </w:pPr>
    </w:p>
    <w:sectPr w:rsidR="00D03934" w:rsidRPr="00D03934" w:rsidSect="002D3B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5D4" w:rsidRDefault="00AD55D4" w:rsidP="006B39BE">
      <w:r>
        <w:separator/>
      </w:r>
    </w:p>
  </w:endnote>
  <w:endnote w:type="continuationSeparator" w:id="0">
    <w:p w:rsidR="00AD55D4" w:rsidRDefault="00AD55D4" w:rsidP="006B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5D4" w:rsidRDefault="00AD55D4" w:rsidP="006B39BE">
      <w:r>
        <w:separator/>
      </w:r>
    </w:p>
  </w:footnote>
  <w:footnote w:type="continuationSeparator" w:id="0">
    <w:p w:rsidR="00AD55D4" w:rsidRDefault="00AD55D4" w:rsidP="006B3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DD7688"/>
    <w:multiLevelType w:val="hybridMultilevel"/>
    <w:tmpl w:val="FFC850B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AD0"/>
    <w:rsid w:val="000045C3"/>
    <w:rsid w:val="00017971"/>
    <w:rsid w:val="000370A0"/>
    <w:rsid w:val="00043A8D"/>
    <w:rsid w:val="0005434F"/>
    <w:rsid w:val="000959E3"/>
    <w:rsid w:val="000A37E8"/>
    <w:rsid w:val="000A59E9"/>
    <w:rsid w:val="000F3A4C"/>
    <w:rsid w:val="0012405D"/>
    <w:rsid w:val="001278B2"/>
    <w:rsid w:val="001448C4"/>
    <w:rsid w:val="001774ED"/>
    <w:rsid w:val="00197FCE"/>
    <w:rsid w:val="001A6B82"/>
    <w:rsid w:val="001B0B06"/>
    <w:rsid w:val="001B3009"/>
    <w:rsid w:val="001C69B4"/>
    <w:rsid w:val="001E71C3"/>
    <w:rsid w:val="00234BCB"/>
    <w:rsid w:val="002356ED"/>
    <w:rsid w:val="00247DC1"/>
    <w:rsid w:val="0026204B"/>
    <w:rsid w:val="002640C0"/>
    <w:rsid w:val="00265722"/>
    <w:rsid w:val="002A3F11"/>
    <w:rsid w:val="002B1084"/>
    <w:rsid w:val="002D3BB6"/>
    <w:rsid w:val="002E0E4C"/>
    <w:rsid w:val="002F538E"/>
    <w:rsid w:val="002F6342"/>
    <w:rsid w:val="003757D1"/>
    <w:rsid w:val="003E690E"/>
    <w:rsid w:val="004367BA"/>
    <w:rsid w:val="00443985"/>
    <w:rsid w:val="00475AD0"/>
    <w:rsid w:val="00475E72"/>
    <w:rsid w:val="00480D0E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3A11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488"/>
    <w:rsid w:val="00653838"/>
    <w:rsid w:val="00657255"/>
    <w:rsid w:val="006663FA"/>
    <w:rsid w:val="006779D2"/>
    <w:rsid w:val="00687454"/>
    <w:rsid w:val="0069641B"/>
    <w:rsid w:val="006972E0"/>
    <w:rsid w:val="006B39BE"/>
    <w:rsid w:val="006D0263"/>
    <w:rsid w:val="00700D8B"/>
    <w:rsid w:val="007123BA"/>
    <w:rsid w:val="007264EF"/>
    <w:rsid w:val="00742A35"/>
    <w:rsid w:val="0077285F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3AED"/>
    <w:rsid w:val="008C55BC"/>
    <w:rsid w:val="008D07AD"/>
    <w:rsid w:val="008D35A4"/>
    <w:rsid w:val="008E215E"/>
    <w:rsid w:val="008E72EE"/>
    <w:rsid w:val="008E74C9"/>
    <w:rsid w:val="008F7F3A"/>
    <w:rsid w:val="009112A9"/>
    <w:rsid w:val="00915640"/>
    <w:rsid w:val="0094100C"/>
    <w:rsid w:val="0096548F"/>
    <w:rsid w:val="00965973"/>
    <w:rsid w:val="009758FD"/>
    <w:rsid w:val="00986250"/>
    <w:rsid w:val="00986575"/>
    <w:rsid w:val="0099185E"/>
    <w:rsid w:val="00997B76"/>
    <w:rsid w:val="009A0172"/>
    <w:rsid w:val="009B0332"/>
    <w:rsid w:val="009B7B6F"/>
    <w:rsid w:val="009E36DB"/>
    <w:rsid w:val="009E4475"/>
    <w:rsid w:val="009E56DB"/>
    <w:rsid w:val="009F5F5A"/>
    <w:rsid w:val="00A07667"/>
    <w:rsid w:val="00A17320"/>
    <w:rsid w:val="00A34AED"/>
    <w:rsid w:val="00A44356"/>
    <w:rsid w:val="00A5451E"/>
    <w:rsid w:val="00A605FD"/>
    <w:rsid w:val="00A6105F"/>
    <w:rsid w:val="00A80E1B"/>
    <w:rsid w:val="00AA2B4E"/>
    <w:rsid w:val="00AA3751"/>
    <w:rsid w:val="00AD55D4"/>
    <w:rsid w:val="00AE0CB2"/>
    <w:rsid w:val="00AF130B"/>
    <w:rsid w:val="00B12FC1"/>
    <w:rsid w:val="00B14192"/>
    <w:rsid w:val="00B16EFE"/>
    <w:rsid w:val="00B245F1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BD4BE3"/>
    <w:rsid w:val="00C26692"/>
    <w:rsid w:val="00C266EC"/>
    <w:rsid w:val="00C44238"/>
    <w:rsid w:val="00C70AC7"/>
    <w:rsid w:val="00CC75D9"/>
    <w:rsid w:val="00CE2282"/>
    <w:rsid w:val="00D027EA"/>
    <w:rsid w:val="00D03934"/>
    <w:rsid w:val="00D101A4"/>
    <w:rsid w:val="00D103BD"/>
    <w:rsid w:val="00D1606E"/>
    <w:rsid w:val="00D202E7"/>
    <w:rsid w:val="00D27716"/>
    <w:rsid w:val="00D34A6A"/>
    <w:rsid w:val="00D42F96"/>
    <w:rsid w:val="00D75890"/>
    <w:rsid w:val="00D75CA9"/>
    <w:rsid w:val="00DB6AF8"/>
    <w:rsid w:val="00DC147D"/>
    <w:rsid w:val="00DC58D5"/>
    <w:rsid w:val="00DE1DFA"/>
    <w:rsid w:val="00E15561"/>
    <w:rsid w:val="00E31641"/>
    <w:rsid w:val="00E474B2"/>
    <w:rsid w:val="00EA1B7F"/>
    <w:rsid w:val="00EA26BE"/>
    <w:rsid w:val="00EA5A98"/>
    <w:rsid w:val="00EB7B04"/>
    <w:rsid w:val="00ED790A"/>
    <w:rsid w:val="00EE7A74"/>
    <w:rsid w:val="00F21582"/>
    <w:rsid w:val="00F37009"/>
    <w:rsid w:val="00F5390B"/>
    <w:rsid w:val="00F779C0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2D3BB6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f4">
    <w:name w:val="Основной текст Знак"/>
    <w:basedOn w:val="a1"/>
    <w:link w:val="af3"/>
    <w:uiPriority w:val="1"/>
    <w:rsid w:val="002D3BB6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D3BB6"/>
    <w:pPr>
      <w:widowControl w:val="0"/>
      <w:autoSpaceDE w:val="0"/>
      <w:autoSpaceDN w:val="0"/>
      <w:ind w:left="110"/>
    </w:pPr>
    <w:rPr>
      <w:sz w:val="22"/>
      <w:szCs w:val="22"/>
      <w:lang w:val="uk-UA" w:eastAsia="en-US"/>
    </w:rPr>
  </w:style>
  <w:style w:type="character" w:styleId="af5">
    <w:name w:val="Hyperlink"/>
    <w:basedOn w:val="a1"/>
    <w:uiPriority w:val="99"/>
    <w:semiHidden/>
    <w:unhideWhenUsed/>
    <w:rsid w:val="00A17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2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4740-5203-4371-9855-5F71E6C8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2717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sis_adm</cp:lastModifiedBy>
  <cp:revision>2</cp:revision>
  <cp:lastPrinted>2023-01-20T13:54:00Z</cp:lastPrinted>
  <dcterms:created xsi:type="dcterms:W3CDTF">2023-01-20T13:55:00Z</dcterms:created>
  <dcterms:modified xsi:type="dcterms:W3CDTF">2023-01-20T13:55:00Z</dcterms:modified>
</cp:coreProperties>
</file>