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E4C7" w14:textId="77777777" w:rsidR="007158DE" w:rsidRPr="00190A32" w:rsidRDefault="003472F1" w:rsidP="005B2465">
      <w:pPr>
        <w:pStyle w:val="a3"/>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14:paraId="40FAA419" w14:textId="77777777" w:rsidR="007158DE" w:rsidRPr="00190A32" w:rsidRDefault="003472F1" w:rsidP="005B2465">
      <w:pPr>
        <w:pStyle w:val="a3"/>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14:paraId="6A762C05" w14:textId="77777777" w:rsidR="007158DE" w:rsidRPr="00190A32" w:rsidRDefault="003472F1" w:rsidP="005B2465">
      <w:pPr>
        <w:pStyle w:val="a3"/>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393"/>
        <w:gridCol w:w="2345"/>
        <w:gridCol w:w="7208"/>
      </w:tblGrid>
      <w:tr w:rsidR="000578D8" w:rsidRPr="000578D8" w14:paraId="4AC8556E" w14:textId="77777777" w:rsidTr="00527E30">
        <w:tc>
          <w:tcPr>
            <w:tcW w:w="706" w:type="dxa"/>
          </w:tcPr>
          <w:p w14:paraId="5283ACF5" w14:textId="77777777" w:rsidR="000578D8" w:rsidRPr="000578D8" w:rsidRDefault="000578D8" w:rsidP="000578D8">
            <w:pPr>
              <w:pStyle w:val="a3"/>
              <w:spacing w:line="23" w:lineRule="atLeast"/>
              <w:jc w:val="center"/>
              <w:rPr>
                <w:b w:val="0"/>
              </w:rPr>
            </w:pPr>
            <w:r w:rsidRPr="000578D8">
              <w:rPr>
                <w:b w:val="0"/>
              </w:rPr>
              <w:t>1</w:t>
            </w:r>
          </w:p>
        </w:tc>
        <w:tc>
          <w:tcPr>
            <w:tcW w:w="3655" w:type="dxa"/>
          </w:tcPr>
          <w:p w14:paraId="208F177C" w14:textId="77777777"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5585" w:type="dxa"/>
          </w:tcPr>
          <w:p w14:paraId="2C84B9C7" w14:textId="77777777" w:rsidR="000578D8" w:rsidRPr="000578D8" w:rsidRDefault="000578D8" w:rsidP="000578D8">
            <w:pPr>
              <w:pStyle w:val="TableParagraph"/>
              <w:spacing w:line="23" w:lineRule="atLeast"/>
              <w:ind w:left="0"/>
              <w:jc w:val="both"/>
              <w:rPr>
                <w:sz w:val="24"/>
              </w:rPr>
            </w:pPr>
            <w:r w:rsidRPr="0028065E">
              <w:rPr>
                <w:b/>
                <w:bCs/>
                <w:i/>
                <w:iCs/>
                <w:sz w:val="24"/>
              </w:rPr>
              <w:t>Відділ освіти, культури, молоді та спорту Белзької міської ради Львівської області</w:t>
            </w:r>
            <w:r w:rsidRPr="000578D8">
              <w:rPr>
                <w:sz w:val="24"/>
              </w:rPr>
              <w:t xml:space="preserve">, </w:t>
            </w:r>
          </w:p>
          <w:p w14:paraId="7AD7D6F0" w14:textId="77777777"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14:paraId="455DB89D" w14:textId="77777777"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 xml:space="preserve">ЄДРПОУ </w:t>
            </w:r>
            <w:r w:rsidRPr="0028065E">
              <w:rPr>
                <w:b/>
                <w:bCs/>
                <w:i/>
                <w:iCs/>
                <w:sz w:val="24"/>
              </w:rPr>
              <w:t>44133922</w:t>
            </w:r>
            <w:r w:rsidRPr="000578D8">
              <w:rPr>
                <w:sz w:val="24"/>
              </w:rPr>
              <w:t>,</w:t>
            </w:r>
          </w:p>
          <w:p w14:paraId="37802997" w14:textId="77777777"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0578D8" w:rsidRPr="000578D8" w14:paraId="3F97E278" w14:textId="77777777" w:rsidTr="00527E30">
        <w:tc>
          <w:tcPr>
            <w:tcW w:w="706" w:type="dxa"/>
          </w:tcPr>
          <w:p w14:paraId="0282330F" w14:textId="77777777" w:rsidR="000578D8" w:rsidRPr="000578D8" w:rsidRDefault="000578D8" w:rsidP="000578D8">
            <w:pPr>
              <w:pStyle w:val="a3"/>
              <w:spacing w:line="23" w:lineRule="atLeast"/>
              <w:jc w:val="center"/>
              <w:rPr>
                <w:b w:val="0"/>
              </w:rPr>
            </w:pPr>
            <w:r w:rsidRPr="000578D8">
              <w:rPr>
                <w:b w:val="0"/>
              </w:rPr>
              <w:t>2</w:t>
            </w:r>
          </w:p>
        </w:tc>
        <w:tc>
          <w:tcPr>
            <w:tcW w:w="3655" w:type="dxa"/>
          </w:tcPr>
          <w:p w14:paraId="57ED6E9C" w14:textId="77777777"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5585" w:type="dxa"/>
          </w:tcPr>
          <w:p w14:paraId="4AB93E4D" w14:textId="44D8E99A" w:rsidR="000578D8" w:rsidRPr="0028065E" w:rsidRDefault="00A0446D" w:rsidP="00A0446D">
            <w:pPr>
              <w:jc w:val="both"/>
              <w:rPr>
                <w:b/>
                <w:bCs/>
                <w:i/>
                <w:iCs/>
              </w:rPr>
            </w:pPr>
            <w:r w:rsidRPr="00A0446D">
              <w:rPr>
                <w:b/>
                <w:bCs/>
                <w:i/>
                <w:iCs/>
                <w:sz w:val="24"/>
                <w:szCs w:val="24"/>
              </w:rPr>
              <w:t>Кейтерингові послуги з організації гарячого харчування учнів 1-4 класів та учнів пільгових категорій 5-11 класів у Белзькому ОЗЗСО І-ІІІ ступенів Белзької міської ради Львівської області та у Низівській гімназії Белзької міської ради Львівської області (код національного класифікатора України ДК 021:2015 “Єдиний закупівельний словник” – 55520000-1 – Кейтерингові послуги)</w:t>
            </w:r>
          </w:p>
        </w:tc>
      </w:tr>
      <w:tr w:rsidR="000578D8" w:rsidRPr="000578D8" w14:paraId="42DA6F59" w14:textId="77777777" w:rsidTr="00527E30">
        <w:tc>
          <w:tcPr>
            <w:tcW w:w="706" w:type="dxa"/>
          </w:tcPr>
          <w:p w14:paraId="40D7EEE9" w14:textId="77777777" w:rsidR="000578D8" w:rsidRPr="000578D8" w:rsidRDefault="000578D8" w:rsidP="000578D8">
            <w:pPr>
              <w:pStyle w:val="a3"/>
              <w:spacing w:line="23" w:lineRule="atLeast"/>
              <w:jc w:val="center"/>
              <w:rPr>
                <w:b w:val="0"/>
              </w:rPr>
            </w:pPr>
            <w:r w:rsidRPr="000578D8">
              <w:rPr>
                <w:b w:val="0"/>
              </w:rPr>
              <w:t>3</w:t>
            </w:r>
          </w:p>
        </w:tc>
        <w:tc>
          <w:tcPr>
            <w:tcW w:w="3655" w:type="dxa"/>
          </w:tcPr>
          <w:p w14:paraId="36F527E7" w14:textId="77777777"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5585" w:type="dxa"/>
          </w:tcPr>
          <w:p w14:paraId="760898CA" w14:textId="1368B2C1" w:rsidR="000578D8" w:rsidRPr="000578D8" w:rsidRDefault="0028065E" w:rsidP="00746E6D">
            <w:pPr>
              <w:pStyle w:val="a3"/>
              <w:spacing w:line="23" w:lineRule="atLeast"/>
              <w:jc w:val="both"/>
              <w:rPr>
                <w:b w:val="0"/>
              </w:rPr>
            </w:pPr>
            <w:r>
              <w:rPr>
                <w:b w:val="0"/>
              </w:rPr>
              <w:t>Відкриті торги з особливостями</w:t>
            </w:r>
          </w:p>
        </w:tc>
      </w:tr>
      <w:tr w:rsidR="000578D8" w:rsidRPr="000578D8" w14:paraId="42E8A841" w14:textId="77777777" w:rsidTr="00527E30">
        <w:tc>
          <w:tcPr>
            <w:tcW w:w="706" w:type="dxa"/>
          </w:tcPr>
          <w:p w14:paraId="50EE8DCF" w14:textId="77777777" w:rsidR="000578D8" w:rsidRPr="000578D8" w:rsidRDefault="000578D8" w:rsidP="000578D8">
            <w:pPr>
              <w:pStyle w:val="a3"/>
              <w:spacing w:line="23" w:lineRule="atLeast"/>
              <w:jc w:val="center"/>
              <w:rPr>
                <w:b w:val="0"/>
              </w:rPr>
            </w:pPr>
            <w:r w:rsidRPr="000578D8">
              <w:rPr>
                <w:b w:val="0"/>
              </w:rPr>
              <w:t>4</w:t>
            </w:r>
          </w:p>
        </w:tc>
        <w:tc>
          <w:tcPr>
            <w:tcW w:w="3655" w:type="dxa"/>
          </w:tcPr>
          <w:p w14:paraId="6AC32E4A" w14:textId="77777777"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5585" w:type="dxa"/>
          </w:tcPr>
          <w:p w14:paraId="5CD3C2E5" w14:textId="1FE3D92F" w:rsidR="000578D8" w:rsidRPr="005E4D5D" w:rsidRDefault="00EC7CCE" w:rsidP="00B933ED">
            <w:pPr>
              <w:pStyle w:val="a3"/>
              <w:spacing w:line="23" w:lineRule="atLeast"/>
              <w:jc w:val="both"/>
              <w:rPr>
                <w:b w:val="0"/>
                <w:lang w:val="en-US"/>
              </w:rPr>
            </w:pPr>
            <w:r w:rsidRPr="00EC7CCE">
              <w:rPr>
                <w:b w:val="0"/>
              </w:rPr>
              <w:t>UA-2025-08-19-002024-a</w:t>
            </w:r>
          </w:p>
        </w:tc>
      </w:tr>
      <w:tr w:rsidR="000578D8" w:rsidRPr="000578D8" w14:paraId="637EF817" w14:textId="77777777" w:rsidTr="00527E30">
        <w:tc>
          <w:tcPr>
            <w:tcW w:w="706" w:type="dxa"/>
          </w:tcPr>
          <w:p w14:paraId="728B9004" w14:textId="77777777" w:rsidR="000578D8" w:rsidRPr="000578D8" w:rsidRDefault="000578D8" w:rsidP="000578D8">
            <w:pPr>
              <w:pStyle w:val="a3"/>
              <w:spacing w:line="23" w:lineRule="atLeast"/>
              <w:jc w:val="center"/>
              <w:rPr>
                <w:b w:val="0"/>
              </w:rPr>
            </w:pPr>
            <w:r w:rsidRPr="000578D8">
              <w:rPr>
                <w:b w:val="0"/>
              </w:rPr>
              <w:t>5</w:t>
            </w:r>
          </w:p>
        </w:tc>
        <w:tc>
          <w:tcPr>
            <w:tcW w:w="3655" w:type="dxa"/>
          </w:tcPr>
          <w:p w14:paraId="6F20D173" w14:textId="77777777"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5585" w:type="dxa"/>
          </w:tcPr>
          <w:p w14:paraId="13A0AA4F" w14:textId="7E494428" w:rsidR="0028065E" w:rsidRPr="00517399" w:rsidRDefault="00A0446D" w:rsidP="0028065E">
            <w:pPr>
              <w:ind w:firstLine="567"/>
              <w:jc w:val="both"/>
              <w:rPr>
                <w:bCs/>
                <w:iCs/>
              </w:rPr>
            </w:pPr>
            <w:r w:rsidRPr="00A0446D">
              <w:rPr>
                <w:bCs/>
                <w:iCs/>
              </w:rPr>
              <w:t xml:space="preserve">Харчування здобувачів освіти/дітей повинно повністю відповідати фізіологічній потребі дитячого організму у поживних речовинах та енергії відповідно до статево-вікових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tbl>
            <w:tblPr>
              <w:tblW w:w="6982" w:type="dxa"/>
              <w:tblLayout w:type="fixed"/>
              <w:tblLook w:val="00A0" w:firstRow="1" w:lastRow="0" w:firstColumn="1" w:lastColumn="0" w:noHBand="0" w:noVBand="0"/>
            </w:tblPr>
            <w:tblGrid>
              <w:gridCol w:w="426"/>
              <w:gridCol w:w="1408"/>
              <w:gridCol w:w="2784"/>
              <w:gridCol w:w="1182"/>
              <w:gridCol w:w="1182"/>
            </w:tblGrid>
            <w:tr w:rsidR="00A0446D" w:rsidRPr="00517399" w14:paraId="18A96E9E" w14:textId="77777777" w:rsidTr="006959D7">
              <w:trPr>
                <w:cantSplit/>
                <w:trHeight w:val="1207"/>
              </w:trPr>
              <w:tc>
                <w:tcPr>
                  <w:tcW w:w="418" w:type="dxa"/>
                  <w:tcBorders>
                    <w:top w:val="single" w:sz="4" w:space="0" w:color="000000"/>
                    <w:left w:val="single" w:sz="4" w:space="0" w:color="000000"/>
                    <w:bottom w:val="single" w:sz="4" w:space="0" w:color="000000"/>
                    <w:right w:val="single" w:sz="4" w:space="0" w:color="000000"/>
                  </w:tcBorders>
                </w:tcPr>
                <w:p w14:paraId="15B251A6" w14:textId="293378F8" w:rsidR="00A0446D" w:rsidRPr="00517399" w:rsidRDefault="00A0446D" w:rsidP="00A0446D">
                  <w:pPr>
                    <w:adjustRightInd w:val="0"/>
                    <w:jc w:val="center"/>
                    <w:rPr>
                      <w:rFonts w:eastAsia="SimSun"/>
                      <w:b/>
                      <w:i/>
                      <w:color w:val="000000"/>
                    </w:rPr>
                  </w:pPr>
                  <w:r w:rsidRPr="00ED07A6">
                    <w:t>№</w:t>
                  </w:r>
                </w:p>
              </w:tc>
              <w:tc>
                <w:tcPr>
                  <w:tcW w:w="1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F30293" w14:textId="4628BB87" w:rsidR="00A0446D" w:rsidRPr="00517399" w:rsidRDefault="00A0446D" w:rsidP="00A0446D">
                  <w:pPr>
                    <w:adjustRightInd w:val="0"/>
                    <w:jc w:val="center"/>
                    <w:rPr>
                      <w:rFonts w:eastAsia="SimSun"/>
                      <w:b/>
                      <w:i/>
                      <w:color w:val="000000"/>
                    </w:rPr>
                  </w:pPr>
                  <w:r w:rsidRPr="00ED07A6">
                    <w:t xml:space="preserve">Повна назва навчального закладу </w:t>
                  </w:r>
                </w:p>
              </w:tc>
              <w:tc>
                <w:tcPr>
                  <w:tcW w:w="2791" w:type="dxa"/>
                  <w:tcBorders>
                    <w:top w:val="single" w:sz="4" w:space="0" w:color="000000"/>
                    <w:bottom w:val="single" w:sz="4" w:space="0" w:color="000000"/>
                    <w:right w:val="single" w:sz="4" w:space="0" w:color="000000"/>
                  </w:tcBorders>
                  <w:tcMar>
                    <w:left w:w="108" w:type="dxa"/>
                    <w:right w:w="108" w:type="dxa"/>
                  </w:tcMar>
                </w:tcPr>
                <w:p w14:paraId="29B6C73A" w14:textId="0BA22D5F" w:rsidR="00A0446D" w:rsidRPr="00517399" w:rsidRDefault="00A0446D" w:rsidP="00A0446D">
                  <w:pPr>
                    <w:jc w:val="center"/>
                    <w:rPr>
                      <w:rFonts w:eastAsia="SimSun"/>
                      <w:b/>
                      <w:i/>
                    </w:rPr>
                  </w:pPr>
                  <w:r w:rsidRPr="00ED07A6">
                    <w:t>Послуга</w:t>
                  </w:r>
                </w:p>
              </w:tc>
              <w:tc>
                <w:tcPr>
                  <w:tcW w:w="1182" w:type="dxa"/>
                  <w:tcBorders>
                    <w:top w:val="single" w:sz="4" w:space="0" w:color="000000"/>
                    <w:bottom w:val="single" w:sz="4" w:space="0" w:color="000000"/>
                    <w:right w:val="single" w:sz="4" w:space="0" w:color="000000"/>
                  </w:tcBorders>
                  <w:tcMar>
                    <w:left w:w="108" w:type="dxa"/>
                    <w:right w:w="108" w:type="dxa"/>
                  </w:tcMar>
                </w:tcPr>
                <w:p w14:paraId="6405BF6E" w14:textId="66B2E4AC" w:rsidR="00A0446D" w:rsidRPr="00517399" w:rsidRDefault="00A0446D" w:rsidP="00A0446D">
                  <w:pPr>
                    <w:jc w:val="center"/>
                    <w:rPr>
                      <w:rFonts w:eastAsia="SimSun"/>
                      <w:b/>
                      <w:i/>
                      <w:lang w:eastAsia="uk-UA"/>
                    </w:rPr>
                  </w:pPr>
                  <w:r w:rsidRPr="00ED07A6">
                    <w:t xml:space="preserve">Кількість учнів </w:t>
                  </w:r>
                </w:p>
              </w:tc>
              <w:tc>
                <w:tcPr>
                  <w:tcW w:w="1182" w:type="dxa"/>
                  <w:tcBorders>
                    <w:top w:val="single" w:sz="4" w:space="0" w:color="000000"/>
                    <w:bottom w:val="single" w:sz="4" w:space="0" w:color="000000"/>
                    <w:right w:val="single" w:sz="4" w:space="0" w:color="000000"/>
                  </w:tcBorders>
                  <w:tcMar>
                    <w:left w:w="108" w:type="dxa"/>
                    <w:right w:w="108" w:type="dxa"/>
                  </w:tcMar>
                </w:tcPr>
                <w:p w14:paraId="4B8DC41D" w14:textId="06793102" w:rsidR="00A0446D" w:rsidRPr="00517399" w:rsidRDefault="00A0446D" w:rsidP="00A0446D">
                  <w:pPr>
                    <w:jc w:val="center"/>
                    <w:rPr>
                      <w:rFonts w:eastAsia="SimSun"/>
                      <w:b/>
                      <w:i/>
                    </w:rPr>
                  </w:pPr>
                  <w:r w:rsidRPr="00ED07A6">
                    <w:t>Кількість днів</w:t>
                  </w:r>
                </w:p>
              </w:tc>
            </w:tr>
            <w:tr w:rsidR="00A0446D" w:rsidRPr="00517399" w14:paraId="4A59787B" w14:textId="77777777" w:rsidTr="006959D7">
              <w:trPr>
                <w:cantSplit/>
                <w:trHeight w:val="358"/>
              </w:trPr>
              <w:tc>
                <w:tcPr>
                  <w:tcW w:w="418" w:type="dxa"/>
                  <w:tcBorders>
                    <w:top w:val="single" w:sz="4" w:space="0" w:color="000000"/>
                    <w:left w:val="single" w:sz="4" w:space="0" w:color="000000"/>
                    <w:bottom w:val="single" w:sz="4" w:space="0" w:color="000000"/>
                    <w:right w:val="single" w:sz="4" w:space="0" w:color="000000"/>
                  </w:tcBorders>
                </w:tcPr>
                <w:p w14:paraId="37057452" w14:textId="7861A9BC" w:rsidR="00A0446D" w:rsidRPr="00517399" w:rsidRDefault="00A0446D" w:rsidP="00A0446D">
                  <w:pPr>
                    <w:adjustRightInd w:val="0"/>
                    <w:rPr>
                      <w:rFonts w:eastAsia="SimSun"/>
                      <w:color w:val="000000"/>
                    </w:rPr>
                  </w:pPr>
                  <w:r w:rsidRPr="00ED07A6">
                    <w:t>1</w:t>
                  </w:r>
                </w:p>
              </w:tc>
              <w:tc>
                <w:tcPr>
                  <w:tcW w:w="1409" w:type="dxa"/>
                  <w:vMerge w:val="restart"/>
                  <w:tcBorders>
                    <w:top w:val="single" w:sz="4" w:space="0" w:color="000000"/>
                    <w:left w:val="single" w:sz="4" w:space="0" w:color="000000"/>
                    <w:right w:val="single" w:sz="4" w:space="0" w:color="000000"/>
                  </w:tcBorders>
                  <w:tcMar>
                    <w:left w:w="108" w:type="dxa"/>
                    <w:right w:w="108" w:type="dxa"/>
                  </w:tcMar>
                </w:tcPr>
                <w:p w14:paraId="736C0B3E" w14:textId="77777777" w:rsidR="00A0446D" w:rsidRPr="00517399" w:rsidRDefault="00A0446D" w:rsidP="00A0446D">
                  <w:pPr>
                    <w:jc w:val="center"/>
                    <w:rPr>
                      <w:rFonts w:eastAsia="SimSun"/>
                    </w:rPr>
                  </w:pPr>
                  <w:r w:rsidRPr="00ED07A6">
                    <w:t>Белзький ОЗЗСО І-ІІІ ступенів Белзької міської ради Львівської області</w:t>
                  </w:r>
                </w:p>
                <w:p w14:paraId="674C4E38" w14:textId="190BC407" w:rsidR="00A0446D" w:rsidRPr="00517399" w:rsidRDefault="00A0446D" w:rsidP="00A0446D">
                  <w:pPr>
                    <w:jc w:val="center"/>
                    <w:rPr>
                      <w:rFonts w:eastAsia="SimSun"/>
                    </w:rPr>
                  </w:pPr>
                </w:p>
              </w:tc>
              <w:tc>
                <w:tcPr>
                  <w:tcW w:w="27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61B1C7" w14:textId="3117630A" w:rsidR="00A0446D" w:rsidRPr="00517399" w:rsidRDefault="00A0446D" w:rsidP="00A0446D">
                  <w:pPr>
                    <w:jc w:val="center"/>
                    <w:rPr>
                      <w:rFonts w:eastAsia="SimSun"/>
                    </w:rPr>
                  </w:pPr>
                  <w:r w:rsidRPr="00ED07A6">
                    <w:t xml:space="preserve">Кейтерингові послуги з організації гарячого харчування учнів 1-4 класів </w:t>
                  </w:r>
                </w:p>
              </w:tc>
              <w:tc>
                <w:tcPr>
                  <w:tcW w:w="1182" w:type="dxa"/>
                  <w:tcBorders>
                    <w:top w:val="single" w:sz="4" w:space="0" w:color="000000"/>
                    <w:bottom w:val="single" w:sz="4" w:space="0" w:color="000000"/>
                    <w:right w:val="single" w:sz="4" w:space="0" w:color="000000"/>
                  </w:tcBorders>
                  <w:tcMar>
                    <w:left w:w="108" w:type="dxa"/>
                    <w:right w:w="108" w:type="dxa"/>
                  </w:tcMar>
                </w:tcPr>
                <w:p w14:paraId="3FEE0DAA" w14:textId="39810BDA" w:rsidR="00A0446D" w:rsidRPr="00517399" w:rsidRDefault="00A0446D" w:rsidP="00A0446D">
                  <w:pPr>
                    <w:adjustRightInd w:val="0"/>
                    <w:jc w:val="center"/>
                    <w:rPr>
                      <w:rFonts w:eastAsia="SimSun"/>
                      <w:color w:val="000000"/>
                    </w:rPr>
                  </w:pPr>
                  <w:r w:rsidRPr="00ED07A6">
                    <w:t>77</w:t>
                  </w:r>
                </w:p>
              </w:tc>
              <w:tc>
                <w:tcPr>
                  <w:tcW w:w="1182" w:type="dxa"/>
                  <w:tcBorders>
                    <w:top w:val="single" w:sz="4" w:space="0" w:color="000000"/>
                    <w:bottom w:val="single" w:sz="4" w:space="0" w:color="000000"/>
                    <w:right w:val="single" w:sz="4" w:space="0" w:color="000000"/>
                  </w:tcBorders>
                  <w:tcMar>
                    <w:left w:w="108" w:type="dxa"/>
                    <w:right w:w="108" w:type="dxa"/>
                  </w:tcMar>
                </w:tcPr>
                <w:p w14:paraId="2A8EFBAA" w14:textId="594DE6E7" w:rsidR="00A0446D" w:rsidRPr="00517399" w:rsidRDefault="00A0446D" w:rsidP="00A0446D">
                  <w:pPr>
                    <w:adjustRightInd w:val="0"/>
                    <w:ind w:hanging="46"/>
                    <w:jc w:val="center"/>
                    <w:rPr>
                      <w:rFonts w:eastAsia="SimSun"/>
                      <w:color w:val="000000"/>
                    </w:rPr>
                  </w:pPr>
                  <w:r w:rsidRPr="00ED07A6">
                    <w:t>78</w:t>
                  </w:r>
                </w:p>
              </w:tc>
            </w:tr>
            <w:tr w:rsidR="00A0446D" w:rsidRPr="00517399" w14:paraId="0638C457" w14:textId="77777777" w:rsidTr="006959D7">
              <w:trPr>
                <w:cantSplit/>
                <w:trHeight w:val="358"/>
              </w:trPr>
              <w:tc>
                <w:tcPr>
                  <w:tcW w:w="418" w:type="dxa"/>
                  <w:tcBorders>
                    <w:top w:val="single" w:sz="4" w:space="0" w:color="000000"/>
                    <w:left w:val="single" w:sz="4" w:space="0" w:color="000000"/>
                    <w:bottom w:val="single" w:sz="4" w:space="0" w:color="000000"/>
                    <w:right w:val="single" w:sz="4" w:space="0" w:color="000000"/>
                  </w:tcBorders>
                </w:tcPr>
                <w:p w14:paraId="656FEAB6" w14:textId="4315091F" w:rsidR="00A0446D" w:rsidRPr="00517399" w:rsidRDefault="00A0446D" w:rsidP="00A0446D">
                  <w:pPr>
                    <w:adjustRightInd w:val="0"/>
                    <w:rPr>
                      <w:rFonts w:eastAsia="SimSun"/>
                      <w:color w:val="000000"/>
                    </w:rPr>
                  </w:pPr>
                  <w:r w:rsidRPr="00ED07A6">
                    <w:t>2</w:t>
                  </w:r>
                </w:p>
              </w:tc>
              <w:tc>
                <w:tcPr>
                  <w:tcW w:w="1409" w:type="dxa"/>
                  <w:vMerge/>
                  <w:tcBorders>
                    <w:left w:val="single" w:sz="4" w:space="0" w:color="000000"/>
                    <w:bottom w:val="single" w:sz="4" w:space="0" w:color="auto"/>
                    <w:right w:val="single" w:sz="4" w:space="0" w:color="000000"/>
                  </w:tcBorders>
                  <w:tcMar>
                    <w:left w:w="108" w:type="dxa"/>
                    <w:right w:w="108" w:type="dxa"/>
                  </w:tcMar>
                </w:tcPr>
                <w:p w14:paraId="118C34C4" w14:textId="77777777" w:rsidR="00A0446D" w:rsidRPr="00517399" w:rsidRDefault="00A0446D" w:rsidP="00A0446D">
                  <w:pPr>
                    <w:rPr>
                      <w:rFonts w:eastAsia="SimSun"/>
                      <w:bCs/>
                      <w:i/>
                    </w:rPr>
                  </w:pPr>
                </w:p>
              </w:tc>
              <w:tc>
                <w:tcPr>
                  <w:tcW w:w="27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D10537" w14:textId="5ABE0FE7" w:rsidR="00A0446D" w:rsidRPr="00517399" w:rsidRDefault="00A0446D" w:rsidP="00A0446D">
                  <w:pPr>
                    <w:jc w:val="center"/>
                    <w:rPr>
                      <w:rFonts w:eastAsia="SimSun"/>
                    </w:rPr>
                  </w:pPr>
                  <w:r w:rsidRPr="00ED07A6">
                    <w:t>Кейтерингові послуги з організації гарячого харчування учнів пільгових категорій 5-11 класів</w:t>
                  </w:r>
                </w:p>
              </w:tc>
              <w:tc>
                <w:tcPr>
                  <w:tcW w:w="1182" w:type="dxa"/>
                  <w:tcBorders>
                    <w:top w:val="single" w:sz="4" w:space="0" w:color="000000"/>
                    <w:bottom w:val="single" w:sz="4" w:space="0" w:color="000000"/>
                    <w:right w:val="single" w:sz="4" w:space="0" w:color="000000"/>
                  </w:tcBorders>
                  <w:tcMar>
                    <w:left w:w="108" w:type="dxa"/>
                    <w:right w:w="108" w:type="dxa"/>
                  </w:tcMar>
                </w:tcPr>
                <w:p w14:paraId="4FC1E9CB" w14:textId="4C89562B" w:rsidR="00A0446D" w:rsidRPr="00517399" w:rsidRDefault="00A0446D" w:rsidP="00A0446D">
                  <w:pPr>
                    <w:adjustRightInd w:val="0"/>
                    <w:jc w:val="center"/>
                    <w:rPr>
                      <w:rFonts w:eastAsia="SimSun"/>
                      <w:color w:val="000000"/>
                    </w:rPr>
                  </w:pPr>
                  <w:r w:rsidRPr="00ED07A6">
                    <w:t>56</w:t>
                  </w:r>
                </w:p>
              </w:tc>
              <w:tc>
                <w:tcPr>
                  <w:tcW w:w="1182" w:type="dxa"/>
                  <w:tcBorders>
                    <w:top w:val="single" w:sz="4" w:space="0" w:color="000000"/>
                    <w:bottom w:val="single" w:sz="4" w:space="0" w:color="000000"/>
                    <w:right w:val="single" w:sz="4" w:space="0" w:color="000000"/>
                  </w:tcBorders>
                  <w:tcMar>
                    <w:left w:w="108" w:type="dxa"/>
                    <w:right w:w="108" w:type="dxa"/>
                  </w:tcMar>
                </w:tcPr>
                <w:p w14:paraId="5D32F047" w14:textId="755B9C9D" w:rsidR="00A0446D" w:rsidRPr="00517399" w:rsidRDefault="00A0446D" w:rsidP="00A0446D">
                  <w:pPr>
                    <w:adjustRightInd w:val="0"/>
                    <w:jc w:val="center"/>
                    <w:rPr>
                      <w:rFonts w:eastAsia="SimSun"/>
                      <w:color w:val="000000"/>
                    </w:rPr>
                  </w:pPr>
                  <w:r w:rsidRPr="00ED07A6">
                    <w:t>78</w:t>
                  </w:r>
                </w:p>
              </w:tc>
            </w:tr>
            <w:tr w:rsidR="00A0446D" w:rsidRPr="00517399" w14:paraId="2A0B4217" w14:textId="77777777" w:rsidTr="006959D7">
              <w:trPr>
                <w:cantSplit/>
                <w:trHeight w:val="358"/>
              </w:trPr>
              <w:tc>
                <w:tcPr>
                  <w:tcW w:w="418" w:type="dxa"/>
                  <w:tcBorders>
                    <w:top w:val="single" w:sz="4" w:space="0" w:color="000000"/>
                    <w:left w:val="single" w:sz="4" w:space="0" w:color="000000"/>
                    <w:bottom w:val="single" w:sz="4" w:space="0" w:color="000000"/>
                    <w:right w:val="single" w:sz="4" w:space="0" w:color="000000"/>
                  </w:tcBorders>
                </w:tcPr>
                <w:p w14:paraId="40CF76F2" w14:textId="569422FA" w:rsidR="00A0446D" w:rsidRPr="00517399" w:rsidRDefault="00A0446D" w:rsidP="00A0446D">
                  <w:pPr>
                    <w:adjustRightInd w:val="0"/>
                    <w:rPr>
                      <w:rFonts w:eastAsia="SimSun"/>
                      <w:color w:val="000000"/>
                    </w:rPr>
                  </w:pPr>
                  <w:r w:rsidRPr="00ED07A6">
                    <w:t>3</w:t>
                  </w:r>
                </w:p>
              </w:tc>
              <w:tc>
                <w:tcPr>
                  <w:tcW w:w="1409" w:type="dxa"/>
                  <w:tcBorders>
                    <w:top w:val="single" w:sz="4" w:space="0" w:color="auto"/>
                    <w:left w:val="single" w:sz="4" w:space="0" w:color="000000"/>
                    <w:right w:val="single" w:sz="4" w:space="0" w:color="000000"/>
                  </w:tcBorders>
                  <w:tcMar>
                    <w:left w:w="108" w:type="dxa"/>
                    <w:right w:w="108" w:type="dxa"/>
                  </w:tcMar>
                </w:tcPr>
                <w:p w14:paraId="72130172" w14:textId="0C0EB90D" w:rsidR="00A0446D" w:rsidRPr="00517399" w:rsidRDefault="00A0446D" w:rsidP="00A0446D">
                  <w:pPr>
                    <w:rPr>
                      <w:rFonts w:eastAsia="SimSun"/>
                      <w:bCs/>
                      <w:i/>
                    </w:rPr>
                  </w:pPr>
                  <w:r w:rsidRPr="00ED07A6">
                    <w:t>Низівська гімназія Белзької міської ради Львівської області</w:t>
                  </w:r>
                </w:p>
              </w:tc>
              <w:tc>
                <w:tcPr>
                  <w:tcW w:w="27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2B62F4" w14:textId="2BDDCE3D" w:rsidR="00A0446D" w:rsidRPr="00517399" w:rsidRDefault="00A0446D" w:rsidP="00A0446D">
                  <w:pPr>
                    <w:jc w:val="center"/>
                    <w:rPr>
                      <w:rFonts w:eastAsia="SimSun"/>
                      <w:bCs/>
                      <w:i/>
                    </w:rPr>
                  </w:pPr>
                  <w:r w:rsidRPr="00ED07A6">
                    <w:t>Кейтерингові послуги з організації гарячого харчування учнів 1-4 класів</w:t>
                  </w:r>
                </w:p>
              </w:tc>
              <w:tc>
                <w:tcPr>
                  <w:tcW w:w="1182" w:type="dxa"/>
                  <w:tcBorders>
                    <w:top w:val="single" w:sz="4" w:space="0" w:color="000000"/>
                    <w:bottom w:val="single" w:sz="4" w:space="0" w:color="000000"/>
                    <w:right w:val="single" w:sz="4" w:space="0" w:color="000000"/>
                  </w:tcBorders>
                  <w:tcMar>
                    <w:left w:w="108" w:type="dxa"/>
                    <w:right w:w="108" w:type="dxa"/>
                  </w:tcMar>
                </w:tcPr>
                <w:p w14:paraId="41802440" w14:textId="773DBB92" w:rsidR="00A0446D" w:rsidRPr="00517399" w:rsidRDefault="00A0446D" w:rsidP="00A0446D">
                  <w:pPr>
                    <w:adjustRightInd w:val="0"/>
                    <w:jc w:val="center"/>
                    <w:rPr>
                      <w:rFonts w:eastAsia="SimSun"/>
                      <w:color w:val="000000"/>
                    </w:rPr>
                  </w:pPr>
                  <w:r w:rsidRPr="00ED07A6">
                    <w:t>23</w:t>
                  </w:r>
                </w:p>
              </w:tc>
              <w:tc>
                <w:tcPr>
                  <w:tcW w:w="1182" w:type="dxa"/>
                  <w:tcBorders>
                    <w:top w:val="single" w:sz="4" w:space="0" w:color="000000"/>
                    <w:bottom w:val="single" w:sz="4" w:space="0" w:color="000000"/>
                    <w:right w:val="single" w:sz="4" w:space="0" w:color="000000"/>
                  </w:tcBorders>
                  <w:tcMar>
                    <w:left w:w="108" w:type="dxa"/>
                    <w:right w:w="108" w:type="dxa"/>
                  </w:tcMar>
                </w:tcPr>
                <w:p w14:paraId="6BFB7D85" w14:textId="1651BFD6" w:rsidR="00A0446D" w:rsidRPr="00517399" w:rsidRDefault="00A0446D" w:rsidP="00A0446D">
                  <w:pPr>
                    <w:adjustRightInd w:val="0"/>
                    <w:jc w:val="center"/>
                    <w:rPr>
                      <w:rFonts w:eastAsia="SimSun"/>
                      <w:color w:val="000000"/>
                    </w:rPr>
                  </w:pPr>
                  <w:r w:rsidRPr="00ED07A6">
                    <w:t>78</w:t>
                  </w:r>
                </w:p>
              </w:tc>
            </w:tr>
            <w:tr w:rsidR="00A0446D" w:rsidRPr="00517399" w14:paraId="2EA01FA8" w14:textId="77777777" w:rsidTr="006959D7">
              <w:trPr>
                <w:cantSplit/>
                <w:trHeight w:val="358"/>
              </w:trPr>
              <w:tc>
                <w:tcPr>
                  <w:tcW w:w="418" w:type="dxa"/>
                  <w:tcBorders>
                    <w:top w:val="single" w:sz="4" w:space="0" w:color="000000"/>
                    <w:left w:val="single" w:sz="4" w:space="0" w:color="000000"/>
                    <w:bottom w:val="single" w:sz="4" w:space="0" w:color="000000"/>
                    <w:right w:val="single" w:sz="4" w:space="0" w:color="000000"/>
                  </w:tcBorders>
                </w:tcPr>
                <w:p w14:paraId="27A1A4DC" w14:textId="59392884" w:rsidR="00A0446D" w:rsidRPr="00517399" w:rsidRDefault="00A0446D" w:rsidP="00A0446D">
                  <w:pPr>
                    <w:adjustRightInd w:val="0"/>
                    <w:rPr>
                      <w:rFonts w:eastAsia="SimSun"/>
                      <w:color w:val="000000"/>
                    </w:rPr>
                  </w:pPr>
                  <w:r w:rsidRPr="00ED07A6">
                    <w:t>4</w:t>
                  </w:r>
                </w:p>
              </w:tc>
              <w:tc>
                <w:tcPr>
                  <w:tcW w:w="1409" w:type="dxa"/>
                  <w:tcBorders>
                    <w:left w:val="single" w:sz="4" w:space="0" w:color="000000"/>
                    <w:bottom w:val="single" w:sz="4" w:space="0" w:color="000000"/>
                    <w:right w:val="single" w:sz="4" w:space="0" w:color="000000"/>
                  </w:tcBorders>
                  <w:tcMar>
                    <w:left w:w="108" w:type="dxa"/>
                    <w:right w:w="108" w:type="dxa"/>
                  </w:tcMar>
                </w:tcPr>
                <w:p w14:paraId="7F3E46AA" w14:textId="77777777" w:rsidR="00A0446D" w:rsidRPr="00517399" w:rsidRDefault="00A0446D" w:rsidP="00A0446D">
                  <w:pPr>
                    <w:rPr>
                      <w:rFonts w:eastAsia="SimSun"/>
                      <w:bCs/>
                      <w:i/>
                    </w:rPr>
                  </w:pPr>
                </w:p>
              </w:tc>
              <w:tc>
                <w:tcPr>
                  <w:tcW w:w="27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29D12F" w14:textId="00D43D81" w:rsidR="00A0446D" w:rsidRPr="00517399" w:rsidRDefault="00A0446D" w:rsidP="00A0446D">
                  <w:pPr>
                    <w:jc w:val="center"/>
                    <w:rPr>
                      <w:rFonts w:eastAsia="SimSun"/>
                      <w:bCs/>
                      <w:i/>
                    </w:rPr>
                  </w:pPr>
                  <w:r w:rsidRPr="00ED07A6">
                    <w:t>Кейтерингові послуги з організації гарячого харчування учнів пільгових категорій 5-11 класів</w:t>
                  </w:r>
                </w:p>
              </w:tc>
              <w:tc>
                <w:tcPr>
                  <w:tcW w:w="1182" w:type="dxa"/>
                  <w:tcBorders>
                    <w:top w:val="single" w:sz="4" w:space="0" w:color="000000"/>
                    <w:bottom w:val="single" w:sz="4" w:space="0" w:color="000000"/>
                    <w:right w:val="single" w:sz="4" w:space="0" w:color="000000"/>
                  </w:tcBorders>
                  <w:tcMar>
                    <w:left w:w="108" w:type="dxa"/>
                    <w:right w:w="108" w:type="dxa"/>
                  </w:tcMar>
                </w:tcPr>
                <w:p w14:paraId="464AC16E" w14:textId="69482067" w:rsidR="00A0446D" w:rsidRPr="00517399" w:rsidRDefault="00A0446D" w:rsidP="00A0446D">
                  <w:pPr>
                    <w:adjustRightInd w:val="0"/>
                    <w:jc w:val="center"/>
                    <w:rPr>
                      <w:rFonts w:eastAsia="SimSun"/>
                      <w:color w:val="000000"/>
                    </w:rPr>
                  </w:pPr>
                  <w:r w:rsidRPr="00ED07A6">
                    <w:t>15</w:t>
                  </w:r>
                </w:p>
              </w:tc>
              <w:tc>
                <w:tcPr>
                  <w:tcW w:w="1182" w:type="dxa"/>
                  <w:tcBorders>
                    <w:top w:val="single" w:sz="4" w:space="0" w:color="000000"/>
                    <w:bottom w:val="single" w:sz="4" w:space="0" w:color="000000"/>
                    <w:right w:val="single" w:sz="4" w:space="0" w:color="000000"/>
                  </w:tcBorders>
                  <w:tcMar>
                    <w:left w:w="108" w:type="dxa"/>
                    <w:right w:w="108" w:type="dxa"/>
                  </w:tcMar>
                </w:tcPr>
                <w:p w14:paraId="3CEB6C22" w14:textId="0F100582" w:rsidR="00A0446D" w:rsidRPr="00517399" w:rsidRDefault="00A0446D" w:rsidP="00A0446D">
                  <w:pPr>
                    <w:adjustRightInd w:val="0"/>
                    <w:jc w:val="center"/>
                    <w:rPr>
                      <w:rFonts w:eastAsia="SimSun"/>
                      <w:color w:val="000000"/>
                    </w:rPr>
                  </w:pPr>
                  <w:r w:rsidRPr="00ED07A6">
                    <w:t>78</w:t>
                  </w:r>
                </w:p>
              </w:tc>
            </w:tr>
          </w:tbl>
          <w:p w14:paraId="07189875" w14:textId="77777777" w:rsidR="00A0446D" w:rsidRPr="00A0446D" w:rsidRDefault="00A0446D" w:rsidP="00A0446D">
            <w:pPr>
              <w:ind w:firstLine="567"/>
              <w:jc w:val="both"/>
              <w:rPr>
                <w:bCs/>
                <w:iCs/>
              </w:rPr>
            </w:pPr>
            <w:r w:rsidRPr="00A0446D">
              <w:rPr>
                <w:bCs/>
                <w:iCs/>
              </w:rPr>
              <w:lastRenderedPageBreak/>
              <w:t xml:space="preserve">Учасник розраховує ціну послуги відповідно до примірного чотиритижневого сезонного меню згідно Додатку № 6 до тендерної документації, враховують особливі дієтичні потреби здобувачів освіти/дітей (у разі їх наявності), потребу у лікувальному харчуванню (у разі прийняття відповідного рішення засновником закладу освіти) </w:t>
            </w:r>
          </w:p>
          <w:p w14:paraId="559D81D7" w14:textId="77777777" w:rsidR="00A0446D" w:rsidRPr="00A0446D" w:rsidRDefault="00A0446D" w:rsidP="00A0446D">
            <w:pPr>
              <w:ind w:firstLine="567"/>
              <w:jc w:val="both"/>
              <w:rPr>
                <w:bCs/>
                <w:iCs/>
              </w:rPr>
            </w:pPr>
            <w:r w:rsidRPr="00A0446D">
              <w:rPr>
                <w:bCs/>
                <w:iCs/>
              </w:rPr>
              <w:t>Кількість учнів може змінюватись відповідно до фактичного відвідування.</w:t>
            </w:r>
          </w:p>
          <w:p w14:paraId="168AFDEF" w14:textId="77777777" w:rsidR="00A0446D" w:rsidRPr="00A0446D" w:rsidRDefault="00A0446D" w:rsidP="00A0446D">
            <w:pPr>
              <w:ind w:firstLine="567"/>
              <w:jc w:val="both"/>
              <w:rPr>
                <w:bCs/>
                <w:iCs/>
              </w:rPr>
            </w:pPr>
            <w:r w:rsidRPr="00A0446D">
              <w:rPr>
                <w:bCs/>
                <w:iCs/>
              </w:rPr>
              <w:t>Учасник має врахувати та суворо дотримуватися графіку харчування здобувачів освіти/дітей визначеного керівником закладу освіти.</w:t>
            </w:r>
          </w:p>
          <w:p w14:paraId="6D3C71B8" w14:textId="77777777" w:rsidR="00A0446D" w:rsidRPr="00A0446D" w:rsidRDefault="00A0446D" w:rsidP="00A0446D">
            <w:pPr>
              <w:ind w:firstLine="567"/>
              <w:jc w:val="both"/>
              <w:rPr>
                <w:bCs/>
                <w:iCs/>
              </w:rPr>
            </w:pPr>
            <w:r w:rsidRPr="00A0446D">
              <w:rPr>
                <w:bCs/>
                <w:iCs/>
              </w:rPr>
              <w:t>Виробничі приміщення Учасника мають бути укомплектовані кваліфікованими кадрами, з обов’язковим проходженням ними медичних оглядів відповідно до норм чинного законодавства України, які будуть безпосередньо здійснювати доставку та видачу готових страв, продуктів страв (обов’язково водія, експедитора; за наявності вантажника тощо).</w:t>
            </w:r>
          </w:p>
          <w:p w14:paraId="42E38D04" w14:textId="77777777" w:rsidR="00A0446D" w:rsidRPr="00A0446D" w:rsidRDefault="00A0446D" w:rsidP="00A0446D">
            <w:pPr>
              <w:ind w:firstLine="567"/>
              <w:jc w:val="both"/>
              <w:rPr>
                <w:bCs/>
                <w:iCs/>
              </w:rPr>
            </w:pPr>
            <w:r w:rsidRPr="00A0446D">
              <w:rPr>
                <w:bCs/>
                <w:iCs/>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2EA59EF5" w14:textId="77777777" w:rsidR="00A0446D" w:rsidRPr="00A0446D" w:rsidRDefault="00A0446D" w:rsidP="00A0446D">
            <w:pPr>
              <w:ind w:firstLine="567"/>
              <w:jc w:val="both"/>
              <w:rPr>
                <w:bCs/>
                <w:iCs/>
              </w:rPr>
            </w:pPr>
            <w:r w:rsidRPr="00A0446D">
              <w:rPr>
                <w:bCs/>
                <w:iCs/>
              </w:rPr>
              <w:t>Учасник забезпечує суворе дотримання правил приймання продуктів, які використовуються під час надання кейтерингових послуг, а також умов і строків зберігання і реалізації продуктів, що швидко псуються. Продукти харчування, які використовуються під час надання кейтерингових послуг повинні мати, зокрема, упаковку (тару), кожна партія пронумерована, тобто на упаковці (тарі) повинна бути зазначена дата виготовлення, термін зберігання та термін реалізації, назва виробника. Учасник забезпечує належне санітарне утримання виробничих приміщень, обладнання та інвентарю.</w:t>
            </w:r>
          </w:p>
          <w:p w14:paraId="22CFE1F1" w14:textId="77777777" w:rsidR="00A0446D" w:rsidRPr="00A0446D" w:rsidRDefault="00A0446D" w:rsidP="00A0446D">
            <w:pPr>
              <w:ind w:firstLine="567"/>
              <w:jc w:val="both"/>
              <w:rPr>
                <w:bCs/>
                <w:iCs/>
              </w:rPr>
            </w:pPr>
            <w:r w:rsidRPr="00A0446D">
              <w:rPr>
                <w:bCs/>
                <w:iCs/>
              </w:rPr>
              <w:t>Приготування калорійних високоякісних страв повинно здійснюватися з використанням сировини, яка повинна відповідати вимогам чинного законодавства України та з чітким дотриманням термінів реалізації з використанням власної матеріально-технічної бази Учасника, готові страви та вироби повинні доставлятись безпосередньо до місця надання послуг (закладу освіти) згідно договору про закупівлю.</w:t>
            </w:r>
          </w:p>
          <w:p w14:paraId="1C1B923A" w14:textId="77777777" w:rsidR="00A0446D" w:rsidRPr="00A0446D" w:rsidRDefault="00A0446D" w:rsidP="00A0446D">
            <w:pPr>
              <w:ind w:firstLine="567"/>
              <w:jc w:val="both"/>
              <w:rPr>
                <w:bCs/>
                <w:iCs/>
              </w:rPr>
            </w:pPr>
            <w:r w:rsidRPr="00A0446D">
              <w:rPr>
                <w:bCs/>
                <w:iCs/>
              </w:rPr>
              <w:t>Під час надання послуг Учасник забезпечує безперешкодний доступ на харчоблок працівникам Замовника, здійснюючи контроль і нагляд, для проведення перевірки відповідності зберігання, транспортування, реалізації і використання харчових продуктів та/або готових страв та виробів.</w:t>
            </w:r>
          </w:p>
          <w:p w14:paraId="68C56CF8" w14:textId="77777777" w:rsidR="00A0446D" w:rsidRPr="00A0446D" w:rsidRDefault="00A0446D" w:rsidP="00A0446D">
            <w:pPr>
              <w:ind w:firstLine="567"/>
              <w:jc w:val="both"/>
              <w:rPr>
                <w:bCs/>
                <w:iCs/>
              </w:rPr>
            </w:pPr>
            <w:r w:rsidRPr="00A0446D">
              <w:rPr>
                <w:bCs/>
                <w:iCs/>
              </w:rPr>
              <w:t>Кількість здобувачів освіти/дітей на харчування узгоджується керівником закладу освіти кожного дня.</w:t>
            </w:r>
          </w:p>
          <w:p w14:paraId="78F2653E" w14:textId="77777777" w:rsidR="00A0446D" w:rsidRPr="00A0446D" w:rsidRDefault="00A0446D" w:rsidP="00A0446D">
            <w:pPr>
              <w:ind w:firstLine="567"/>
              <w:jc w:val="both"/>
              <w:rPr>
                <w:bCs/>
                <w:iCs/>
              </w:rPr>
            </w:pPr>
            <w:r w:rsidRPr="00A0446D">
              <w:rPr>
                <w:bCs/>
                <w:iCs/>
              </w:rPr>
              <w:t>Для транспортування харчових продуктів з баз та транспортування готової продукції у заклади освіти, повинен використовуватися автотранспорт, що має дозвіл Державної служби України з питань безпечності харчових продуктів та захисту споживачів для перевезення харчових продуктів, рішення про державну реєстрацію потужності на транспортування, або лист щодо державної реєстрації потужності на транспортування. Автотранспорт для перевезення харчових продуктів має бути чистим. Щодня, а в разі забруднення транспорту і після кожного перевезення харчових продуктів, він повинен промиватися.</w:t>
            </w:r>
          </w:p>
          <w:p w14:paraId="06230518" w14:textId="77777777" w:rsidR="00A0446D" w:rsidRPr="00A0446D" w:rsidRDefault="00A0446D" w:rsidP="00A0446D">
            <w:pPr>
              <w:ind w:firstLine="567"/>
              <w:jc w:val="both"/>
              <w:rPr>
                <w:bCs/>
                <w:iCs/>
              </w:rPr>
            </w:pPr>
            <w:r w:rsidRPr="00A0446D">
              <w:rPr>
                <w:bCs/>
                <w:iCs/>
              </w:rPr>
              <w:t>Перевезення готових страв повинно здійснюватися в герметичній упаковці та/або іншій тарі. Упаковка (контейнер, термовідро, термобокс, термоконтейнер) та/або інша тара, у тому числі зворотна тара, які є багаторазовими, повинні відповідати таким вимогам:</w:t>
            </w:r>
          </w:p>
          <w:p w14:paraId="08873015" w14:textId="77777777" w:rsidR="00A0446D" w:rsidRPr="00A0446D" w:rsidRDefault="00A0446D" w:rsidP="00A0446D">
            <w:pPr>
              <w:ind w:firstLine="567"/>
              <w:jc w:val="both"/>
              <w:rPr>
                <w:bCs/>
                <w:iCs/>
              </w:rPr>
            </w:pPr>
            <w:r w:rsidRPr="00A0446D">
              <w:rPr>
                <w:bCs/>
                <w:iCs/>
              </w:rPr>
              <w:t>1) бути виготовленими із гладких, нетоксичних матеріалів, придатних до миття;</w:t>
            </w:r>
          </w:p>
          <w:p w14:paraId="454C383F" w14:textId="77777777" w:rsidR="00A0446D" w:rsidRPr="00A0446D" w:rsidRDefault="00A0446D" w:rsidP="00A0446D">
            <w:pPr>
              <w:ind w:firstLine="567"/>
              <w:jc w:val="both"/>
              <w:rPr>
                <w:bCs/>
                <w:iCs/>
              </w:rPr>
            </w:pPr>
            <w:r w:rsidRPr="00A0446D">
              <w:rPr>
                <w:bCs/>
                <w:iCs/>
              </w:rPr>
              <w:t>2) утримуватись у непошкодженому стані;</w:t>
            </w:r>
          </w:p>
          <w:p w14:paraId="18169F95" w14:textId="77777777" w:rsidR="00A0446D" w:rsidRPr="00A0446D" w:rsidRDefault="00A0446D" w:rsidP="00A0446D">
            <w:pPr>
              <w:ind w:firstLine="567"/>
              <w:jc w:val="both"/>
              <w:rPr>
                <w:bCs/>
                <w:iCs/>
              </w:rPr>
            </w:pPr>
            <w:r w:rsidRPr="00A0446D">
              <w:rPr>
                <w:bCs/>
                <w:iCs/>
              </w:rPr>
              <w:t>3) бути стійкими до дії мийних та дезінфекційних засобів.</w:t>
            </w:r>
          </w:p>
          <w:p w14:paraId="36F4D0AD" w14:textId="77777777" w:rsidR="00A0446D" w:rsidRPr="00A0446D" w:rsidRDefault="00A0446D" w:rsidP="00A0446D">
            <w:pPr>
              <w:ind w:firstLine="567"/>
              <w:jc w:val="both"/>
              <w:rPr>
                <w:bCs/>
                <w:iCs/>
              </w:rPr>
            </w:pPr>
            <w:r w:rsidRPr="00A0446D">
              <w:rPr>
                <w:bCs/>
                <w:iCs/>
              </w:rPr>
              <w:t xml:space="preserve">Після кожного використання упаковка (контейнер, термовідро, термобокс, термоконтейнер) та/або інша тара, у тому числі зворотна тара, які є багаторазовими, мають митися, просушуватися та в разі потреби </w:t>
            </w:r>
            <w:r w:rsidRPr="00A0446D">
              <w:rPr>
                <w:bCs/>
                <w:iCs/>
              </w:rPr>
              <w:lastRenderedPageBreak/>
              <w:t>дезінфікуватися. Харчові продукти перевозяться з дотриманням вимог щодо температурного режиму, який унеможливлює розмноження мікроорганізмів, формування токсинів, та з забезпеченням такого розділення харчових продуктів, що унеможливлює їх забруднення.</w:t>
            </w:r>
          </w:p>
          <w:p w14:paraId="68F64381" w14:textId="77777777" w:rsidR="00A0446D" w:rsidRPr="00A0446D" w:rsidRDefault="00A0446D" w:rsidP="00A0446D">
            <w:pPr>
              <w:ind w:firstLine="567"/>
              <w:jc w:val="both"/>
              <w:rPr>
                <w:bCs/>
                <w:iCs/>
              </w:rPr>
            </w:pPr>
            <w:r w:rsidRPr="00A0446D">
              <w:rPr>
                <w:bCs/>
                <w:iCs/>
              </w:rPr>
              <w:t>На вимогу закладу освіти Учасник повинен надати документи про якість та безпечність на усі продукти харчування, які використовуються для надання послуг.</w:t>
            </w:r>
          </w:p>
          <w:p w14:paraId="4A8890B7" w14:textId="77777777" w:rsidR="00A0446D" w:rsidRPr="00A0446D" w:rsidRDefault="00A0446D" w:rsidP="00A0446D">
            <w:pPr>
              <w:ind w:firstLine="567"/>
              <w:jc w:val="both"/>
              <w:rPr>
                <w:bCs/>
                <w:iCs/>
              </w:rPr>
            </w:pPr>
          </w:p>
          <w:p w14:paraId="7424A90C" w14:textId="77777777" w:rsidR="00A0446D" w:rsidRPr="00A0446D" w:rsidRDefault="00A0446D" w:rsidP="00A0446D">
            <w:pPr>
              <w:ind w:firstLine="567"/>
              <w:jc w:val="both"/>
              <w:rPr>
                <w:bCs/>
                <w:iCs/>
              </w:rPr>
            </w:pPr>
            <w:r w:rsidRPr="00A0446D">
              <w:rPr>
                <w:bCs/>
                <w:iCs/>
              </w:rPr>
              <w:t xml:space="preserve">Учасник (виконавець) повинен використовувати наступні документи та враховувати законодавчі акти: </w:t>
            </w:r>
          </w:p>
          <w:p w14:paraId="3D763921" w14:textId="77777777" w:rsidR="00A0446D" w:rsidRPr="00A0446D" w:rsidRDefault="00A0446D" w:rsidP="00A0446D">
            <w:pPr>
              <w:ind w:firstLine="567"/>
              <w:jc w:val="both"/>
              <w:rPr>
                <w:bCs/>
                <w:iCs/>
              </w:rPr>
            </w:pPr>
            <w:r w:rsidRPr="00A0446D">
              <w:rPr>
                <w:bCs/>
                <w:iCs/>
              </w:rPr>
              <w:t>1.</w:t>
            </w:r>
            <w:r w:rsidRPr="00A0446D">
              <w:rPr>
                <w:bCs/>
                <w:iCs/>
              </w:rPr>
              <w:tab/>
              <w:t>Закон України «Про основні принципи та вимоги до безпечності та якості харчових продуктів»;</w:t>
            </w:r>
          </w:p>
          <w:p w14:paraId="7B7A85EB" w14:textId="77777777" w:rsidR="00A0446D" w:rsidRPr="00A0446D" w:rsidRDefault="00A0446D" w:rsidP="00A0446D">
            <w:pPr>
              <w:ind w:firstLine="567"/>
              <w:jc w:val="both"/>
              <w:rPr>
                <w:bCs/>
                <w:iCs/>
              </w:rPr>
            </w:pPr>
            <w:r w:rsidRPr="00A0446D">
              <w:rPr>
                <w:bCs/>
                <w:iCs/>
              </w:rPr>
              <w:t>2. Закон України “Про інформацію для споживачів щодо харчових продуктів”;</w:t>
            </w:r>
          </w:p>
          <w:p w14:paraId="26708DE5" w14:textId="77777777" w:rsidR="00A0446D" w:rsidRPr="00A0446D" w:rsidRDefault="00A0446D" w:rsidP="00A0446D">
            <w:pPr>
              <w:ind w:firstLine="567"/>
              <w:jc w:val="both"/>
              <w:rPr>
                <w:bCs/>
                <w:iCs/>
              </w:rPr>
            </w:pPr>
            <w:r w:rsidRPr="00A0446D">
              <w:rPr>
                <w:bCs/>
                <w:iCs/>
              </w:rPr>
              <w:t>3.</w:t>
            </w:r>
            <w:r w:rsidRPr="00A0446D">
              <w:rPr>
                <w:bCs/>
                <w:iCs/>
              </w:rPr>
              <w:tab/>
              <w:t>Постанова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14:paraId="4700580B" w14:textId="77777777" w:rsidR="00A0446D" w:rsidRPr="00A0446D" w:rsidRDefault="00A0446D" w:rsidP="00A0446D">
            <w:pPr>
              <w:ind w:firstLine="567"/>
              <w:jc w:val="both"/>
              <w:rPr>
                <w:bCs/>
                <w:iCs/>
              </w:rPr>
            </w:pPr>
            <w:r w:rsidRPr="00A0446D">
              <w:rPr>
                <w:bCs/>
                <w:iCs/>
              </w:rPr>
              <w:t>4.</w:t>
            </w:r>
            <w:r w:rsidRPr="00A0446D">
              <w:rPr>
                <w:bCs/>
                <w:iCs/>
              </w:rPr>
              <w:tab/>
              <w:t>Постанова Кабінету Міністрів України 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p>
          <w:p w14:paraId="733E6D44" w14:textId="77777777" w:rsidR="00A0446D" w:rsidRPr="00A0446D" w:rsidRDefault="00A0446D" w:rsidP="00A0446D">
            <w:pPr>
              <w:ind w:firstLine="567"/>
              <w:jc w:val="both"/>
              <w:rPr>
                <w:bCs/>
                <w:iCs/>
              </w:rPr>
            </w:pPr>
            <w:r w:rsidRPr="00A0446D">
              <w:rPr>
                <w:bCs/>
                <w:iCs/>
              </w:rPr>
              <w:t>5.</w:t>
            </w:r>
            <w:r w:rsidRPr="00A0446D">
              <w:rPr>
                <w:bCs/>
                <w:iCs/>
              </w:rPr>
              <w:tab/>
              <w:t>Санітарний регламент для закладів загальної середньої освіти, затверджений Наказом Міністерства охорони здоров’я України від 25.09.2020 № 2205;</w:t>
            </w:r>
          </w:p>
          <w:p w14:paraId="3CF2D0A6" w14:textId="77777777" w:rsidR="00A0446D" w:rsidRPr="00A0446D" w:rsidRDefault="00A0446D" w:rsidP="00A0446D">
            <w:pPr>
              <w:ind w:firstLine="567"/>
              <w:jc w:val="both"/>
              <w:rPr>
                <w:bCs/>
                <w:iCs/>
              </w:rPr>
            </w:pPr>
            <w:r w:rsidRPr="00A0446D">
              <w:rPr>
                <w:bCs/>
                <w:iCs/>
              </w:rPr>
              <w:t>6.</w:t>
            </w:r>
            <w:r w:rsidRPr="00A0446D">
              <w:rPr>
                <w:bCs/>
                <w:iCs/>
              </w:rPr>
              <w:tab/>
              <w:t>Наказ Міністерства освіти і науки України та Міністерства охорони здоров’я України від 15.08.2006 № 620/563 «Щодо невідкладних заходів з організації харчування дітей у дошкільних, загальноосвітніх, позашкільних навчальних закладах», в тому числі щодо заборони м’яса та яєць водоплаваючої птиці, субпродуктів, що містять синтетичні барвники;</w:t>
            </w:r>
          </w:p>
          <w:p w14:paraId="4A3B4F63" w14:textId="77777777" w:rsidR="00A0446D" w:rsidRPr="00A0446D" w:rsidRDefault="00A0446D" w:rsidP="00A0446D">
            <w:pPr>
              <w:ind w:firstLine="567"/>
              <w:jc w:val="both"/>
              <w:rPr>
                <w:bCs/>
                <w:iCs/>
              </w:rPr>
            </w:pPr>
            <w:r w:rsidRPr="00A0446D">
              <w:rPr>
                <w:bCs/>
                <w:iCs/>
              </w:rPr>
              <w:t>7.</w:t>
            </w:r>
            <w:r w:rsidRPr="00A0446D">
              <w:rPr>
                <w:bCs/>
                <w:iCs/>
              </w:rPr>
              <w:tab/>
              <w:t>Наказ Міністерства охорони здоров’я України від 20.02.2013 № 144 «Про затвердження 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w:t>
            </w:r>
          </w:p>
          <w:p w14:paraId="6061760F" w14:textId="77777777" w:rsidR="00A0446D" w:rsidRPr="00A0446D" w:rsidRDefault="00A0446D" w:rsidP="00A0446D">
            <w:pPr>
              <w:ind w:firstLine="567"/>
              <w:jc w:val="both"/>
              <w:rPr>
                <w:bCs/>
                <w:iCs/>
              </w:rPr>
            </w:pPr>
            <w:r w:rsidRPr="00A0446D">
              <w:rPr>
                <w:bCs/>
                <w:iCs/>
              </w:rPr>
              <w:t>8.</w:t>
            </w:r>
            <w:r w:rsidRPr="00A0446D">
              <w:rPr>
                <w:bCs/>
                <w:iCs/>
              </w:rPr>
              <w:tab/>
              <w:t>Наказ Міністерства охорони здоров’я України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p>
          <w:p w14:paraId="15FB0946" w14:textId="77777777" w:rsidR="00A0446D" w:rsidRPr="00A0446D" w:rsidRDefault="00A0446D" w:rsidP="00A0446D">
            <w:pPr>
              <w:ind w:firstLine="567"/>
              <w:jc w:val="both"/>
              <w:rPr>
                <w:bCs/>
                <w:iCs/>
              </w:rPr>
            </w:pPr>
            <w:r w:rsidRPr="00A0446D">
              <w:rPr>
                <w:bCs/>
                <w:iCs/>
              </w:rPr>
              <w:t>9.</w:t>
            </w:r>
            <w:r w:rsidRPr="00A0446D">
              <w:rPr>
                <w:bCs/>
                <w:iCs/>
              </w:rPr>
              <w:tab/>
              <w:t>Наказ Мінекономіки від 03.12.2020 № 2532 “Про затвердження Гігієнічних вимог до виробництва та обігу харчових продуктів на потужностях, розташованих у закладах загальної середньої освіти”</w:t>
            </w:r>
          </w:p>
          <w:p w14:paraId="5A9F8484" w14:textId="77777777" w:rsidR="00A0446D" w:rsidRPr="00A0446D" w:rsidRDefault="00A0446D" w:rsidP="00A0446D">
            <w:pPr>
              <w:ind w:firstLine="567"/>
              <w:jc w:val="both"/>
              <w:rPr>
                <w:bCs/>
                <w:iCs/>
              </w:rPr>
            </w:pPr>
            <w:r w:rsidRPr="00A0446D">
              <w:rPr>
                <w:bCs/>
                <w:iCs/>
              </w:rPr>
              <w:t>10. Наказ Мінагрополітики від 20.10.2022 № 813 “Про затвердження Гігієнічних вимог до виробництва та обігу харчових продуктів тваринного походження”</w:t>
            </w:r>
          </w:p>
          <w:p w14:paraId="34AB9DBC" w14:textId="77777777" w:rsidR="00A0446D" w:rsidRPr="00A0446D" w:rsidRDefault="00A0446D" w:rsidP="00A0446D">
            <w:pPr>
              <w:ind w:firstLine="567"/>
              <w:jc w:val="both"/>
              <w:rPr>
                <w:bCs/>
                <w:iCs/>
              </w:rPr>
            </w:pPr>
            <w:r w:rsidRPr="00A0446D">
              <w:rPr>
                <w:bCs/>
                <w:iCs/>
              </w:rPr>
              <w:t>11. 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61A71FE1" w14:textId="0F27738C" w:rsidR="005B2465" w:rsidRPr="005B2465" w:rsidRDefault="00A0446D" w:rsidP="00A0446D">
            <w:pPr>
              <w:ind w:firstLine="567"/>
              <w:jc w:val="both"/>
              <w:rPr>
                <w:sz w:val="24"/>
                <w:szCs w:val="24"/>
              </w:rPr>
            </w:pPr>
            <w:r w:rsidRPr="00A0446D">
              <w:rPr>
                <w:bCs/>
                <w:iCs/>
              </w:rPr>
              <w:t>Учасник (виконавець) несе відповідальність за якість та безпеку готової продукції, яка видається до споживання згідно норм чинного законодавства України.</w:t>
            </w:r>
          </w:p>
        </w:tc>
      </w:tr>
      <w:tr w:rsidR="000578D8" w:rsidRPr="000578D8" w14:paraId="64B62C6E" w14:textId="77777777" w:rsidTr="00527E30">
        <w:tc>
          <w:tcPr>
            <w:tcW w:w="706" w:type="dxa"/>
          </w:tcPr>
          <w:p w14:paraId="19008624" w14:textId="77777777" w:rsidR="000578D8" w:rsidRPr="000578D8" w:rsidRDefault="000578D8" w:rsidP="000578D8">
            <w:pPr>
              <w:pStyle w:val="a3"/>
              <w:spacing w:line="23" w:lineRule="atLeast"/>
              <w:jc w:val="center"/>
              <w:rPr>
                <w:b w:val="0"/>
              </w:rPr>
            </w:pPr>
            <w:r w:rsidRPr="000578D8">
              <w:rPr>
                <w:b w:val="0"/>
              </w:rPr>
              <w:lastRenderedPageBreak/>
              <w:t>6</w:t>
            </w:r>
          </w:p>
        </w:tc>
        <w:tc>
          <w:tcPr>
            <w:tcW w:w="3655" w:type="dxa"/>
          </w:tcPr>
          <w:p w14:paraId="4426C940" w14:textId="77777777"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5585" w:type="dxa"/>
          </w:tcPr>
          <w:p w14:paraId="1F03829B" w14:textId="76096ECC" w:rsidR="000578D8" w:rsidRPr="000578D8" w:rsidRDefault="000578D8" w:rsidP="00B933ED">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28065E">
              <w:rPr>
                <w:b w:val="0"/>
              </w:rPr>
              <w:t>5</w:t>
            </w:r>
            <w:r w:rsidRPr="000578D8">
              <w:rPr>
                <w:b w:val="0"/>
              </w:rPr>
              <w:t xml:space="preserve"> рік за КЕКВ</w:t>
            </w:r>
            <w:r w:rsidRPr="000578D8">
              <w:rPr>
                <w:b w:val="0"/>
                <w:spacing w:val="-57"/>
              </w:rPr>
              <w:t xml:space="preserve">    </w:t>
            </w:r>
            <w:r w:rsidRPr="000578D8">
              <w:rPr>
                <w:b w:val="0"/>
              </w:rPr>
              <w:t>22</w:t>
            </w:r>
            <w:r w:rsidR="00527E30">
              <w:rPr>
                <w:b w:val="0"/>
              </w:rPr>
              <w:t>3</w:t>
            </w:r>
            <w:r w:rsidR="00FC0B75">
              <w:rPr>
                <w:b w:val="0"/>
              </w:rPr>
              <w:t>0</w:t>
            </w:r>
            <w:r w:rsidR="00190A32">
              <w:rPr>
                <w:b w:val="0"/>
              </w:rPr>
              <w:t>.</w:t>
            </w:r>
          </w:p>
        </w:tc>
      </w:tr>
      <w:tr w:rsidR="000578D8" w:rsidRPr="000578D8" w14:paraId="73A0D1AC" w14:textId="77777777" w:rsidTr="00527E30">
        <w:tc>
          <w:tcPr>
            <w:tcW w:w="706" w:type="dxa"/>
          </w:tcPr>
          <w:p w14:paraId="3BD353AC" w14:textId="77777777" w:rsidR="000578D8" w:rsidRPr="000578D8" w:rsidRDefault="000578D8" w:rsidP="000578D8">
            <w:pPr>
              <w:pStyle w:val="a3"/>
              <w:spacing w:line="23" w:lineRule="atLeast"/>
              <w:jc w:val="center"/>
              <w:rPr>
                <w:b w:val="0"/>
              </w:rPr>
            </w:pPr>
            <w:r w:rsidRPr="000578D8">
              <w:rPr>
                <w:b w:val="0"/>
              </w:rPr>
              <w:t>7</w:t>
            </w:r>
          </w:p>
        </w:tc>
        <w:tc>
          <w:tcPr>
            <w:tcW w:w="3655" w:type="dxa"/>
          </w:tcPr>
          <w:p w14:paraId="353DD3EA" w14:textId="77777777"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lastRenderedPageBreak/>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5585" w:type="dxa"/>
          </w:tcPr>
          <w:p w14:paraId="1FF7771A" w14:textId="13644789" w:rsidR="00746E6D" w:rsidRPr="000578D8" w:rsidRDefault="000578D8" w:rsidP="00B933ED">
            <w:pPr>
              <w:pStyle w:val="a3"/>
              <w:spacing w:line="23" w:lineRule="atLeast"/>
              <w:jc w:val="both"/>
              <w:rPr>
                <w:b w:val="0"/>
              </w:rPr>
            </w:pPr>
            <w:r w:rsidRPr="00746E6D">
              <w:rPr>
                <w:b w:val="0"/>
              </w:rPr>
              <w:lastRenderedPageBreak/>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28065E">
              <w:rPr>
                <w:b w:val="0"/>
              </w:rPr>
              <w:t>1 08</w:t>
            </w:r>
            <w:r w:rsidR="00A0446D">
              <w:rPr>
                <w:b w:val="0"/>
              </w:rPr>
              <w:t>7</w:t>
            </w:r>
            <w:r w:rsidR="0028065E">
              <w:rPr>
                <w:b w:val="0"/>
              </w:rPr>
              <w:t xml:space="preserve"> </w:t>
            </w:r>
            <w:r w:rsidR="0028065E">
              <w:rPr>
                <w:b w:val="0"/>
              </w:rPr>
              <w:lastRenderedPageBreak/>
              <w:t>0</w:t>
            </w:r>
            <w:r w:rsidR="00A0446D">
              <w:rPr>
                <w:b w:val="0"/>
              </w:rPr>
              <w:t>4</w:t>
            </w:r>
            <w:r w:rsidR="0028065E">
              <w:rPr>
                <w:b w:val="0"/>
              </w:rPr>
              <w:t>0</w:t>
            </w:r>
            <w:r w:rsidR="00527E30" w:rsidRPr="00527E30">
              <w:rPr>
                <w:b w:val="0"/>
              </w:rPr>
              <w:t>,00</w:t>
            </w:r>
            <w:r w:rsidR="00527E30">
              <w:rPr>
                <w:b w:val="0"/>
              </w:rPr>
              <w:t xml:space="preserve"> </w:t>
            </w:r>
            <w:r w:rsidRPr="00746E6D">
              <w:rPr>
                <w:b w:val="0"/>
              </w:rPr>
              <w:t>грн.</w:t>
            </w:r>
            <w:r w:rsidRPr="00746E6D">
              <w:rPr>
                <w:b w:val="0"/>
                <w:spacing w:val="1"/>
              </w:rPr>
              <w:t xml:space="preserve"> </w:t>
            </w:r>
            <w:r w:rsidRPr="00746E6D">
              <w:rPr>
                <w:b w:val="0"/>
              </w:rPr>
              <w:t>з</w:t>
            </w:r>
            <w:r w:rsidRPr="00746E6D">
              <w:rPr>
                <w:b w:val="0"/>
                <w:spacing w:val="1"/>
              </w:rPr>
              <w:t xml:space="preserve"> </w:t>
            </w:r>
            <w:r w:rsidRPr="00746E6D">
              <w:rPr>
                <w:b w:val="0"/>
              </w:rPr>
              <w:t>ПДВ,</w:t>
            </w:r>
            <w:r w:rsidRPr="00746E6D">
              <w:rPr>
                <w:b w:val="0"/>
                <w:spacing w:val="1"/>
              </w:rPr>
              <w:t xml:space="preserve"> </w:t>
            </w:r>
            <w:r w:rsidRPr="00746E6D">
              <w:rPr>
                <w:b w:val="0"/>
              </w:rPr>
              <w:t>що</w:t>
            </w:r>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00FC0B75">
              <w:rPr>
                <w:b w:val="0"/>
              </w:rPr>
              <w:t>товару</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 xml:space="preserve">відповідних </w:t>
            </w:r>
            <w:r w:rsidR="00FC0B75">
              <w:rPr>
                <w:b w:val="0"/>
              </w:rPr>
              <w:t>товарів</w:t>
            </w:r>
            <w:r w:rsidRPr="00746E6D">
              <w:rPr>
                <w:b w:val="0"/>
              </w:rPr>
              <w:t xml:space="preserve">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r w:rsidRPr="00746E6D">
              <w:rPr>
                <w:b w:val="0"/>
              </w:rPr>
              <w:t>Prozorro</w:t>
            </w:r>
            <w:r w:rsidR="00746E6D">
              <w:rPr>
                <w:b w:val="0"/>
              </w:rPr>
              <w:t>.</w:t>
            </w:r>
          </w:p>
        </w:tc>
      </w:tr>
    </w:tbl>
    <w:p w14:paraId="7B989A48" w14:textId="77777777"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AA57" w14:textId="77777777" w:rsidR="00527E30" w:rsidRDefault="00527E30" w:rsidP="00527E30">
      <w:r>
        <w:separator/>
      </w:r>
    </w:p>
  </w:endnote>
  <w:endnote w:type="continuationSeparator" w:id="0">
    <w:p w14:paraId="5707CD2E" w14:textId="77777777" w:rsidR="00527E30" w:rsidRDefault="00527E30" w:rsidP="0052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BB44" w14:textId="77777777" w:rsidR="00527E30" w:rsidRDefault="00527E30" w:rsidP="00527E30">
      <w:r>
        <w:separator/>
      </w:r>
    </w:p>
  </w:footnote>
  <w:footnote w:type="continuationSeparator" w:id="0">
    <w:p w14:paraId="5B558813" w14:textId="77777777" w:rsidR="00527E30" w:rsidRDefault="00527E30" w:rsidP="00527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1314"/>
    <w:multiLevelType w:val="multilevel"/>
    <w:tmpl w:val="3F711314"/>
    <w:lvl w:ilvl="0">
      <w:numFmt w:val="bullet"/>
      <w:lvlText w:val="-"/>
      <w:lvlJc w:val="left"/>
      <w:pPr>
        <w:ind w:left="819" w:hanging="360"/>
      </w:pPr>
      <w:rPr>
        <w:rFonts w:ascii="Times New Roman" w:eastAsia="Times New Roman" w:hAnsi="Times New Roman" w:hint="default"/>
        <w:sz w:val="24"/>
      </w:rPr>
    </w:lvl>
    <w:lvl w:ilvl="1" w:tentative="1">
      <w:start w:val="1"/>
      <w:numFmt w:val="bullet"/>
      <w:lvlText w:val="o"/>
      <w:lvlJc w:val="left"/>
      <w:pPr>
        <w:ind w:left="1539" w:hanging="360"/>
      </w:pPr>
      <w:rPr>
        <w:rFonts w:ascii="Courier New" w:hAnsi="Courier New" w:hint="default"/>
      </w:rPr>
    </w:lvl>
    <w:lvl w:ilvl="2" w:tentative="1">
      <w:start w:val="1"/>
      <w:numFmt w:val="bullet"/>
      <w:lvlText w:val=""/>
      <w:lvlJc w:val="left"/>
      <w:pPr>
        <w:ind w:left="2259" w:hanging="360"/>
      </w:pPr>
      <w:rPr>
        <w:rFonts w:ascii="Wingdings" w:hAnsi="Wingdings" w:hint="default"/>
      </w:rPr>
    </w:lvl>
    <w:lvl w:ilvl="3" w:tentative="1">
      <w:start w:val="1"/>
      <w:numFmt w:val="bullet"/>
      <w:lvlText w:val=""/>
      <w:lvlJc w:val="left"/>
      <w:pPr>
        <w:ind w:left="2979" w:hanging="360"/>
      </w:pPr>
      <w:rPr>
        <w:rFonts w:ascii="Symbol" w:hAnsi="Symbol" w:hint="default"/>
      </w:rPr>
    </w:lvl>
    <w:lvl w:ilvl="4" w:tentative="1">
      <w:start w:val="1"/>
      <w:numFmt w:val="bullet"/>
      <w:lvlText w:val="o"/>
      <w:lvlJc w:val="left"/>
      <w:pPr>
        <w:ind w:left="3699" w:hanging="360"/>
      </w:pPr>
      <w:rPr>
        <w:rFonts w:ascii="Courier New" w:hAnsi="Courier New" w:hint="default"/>
      </w:rPr>
    </w:lvl>
    <w:lvl w:ilvl="5" w:tentative="1">
      <w:start w:val="1"/>
      <w:numFmt w:val="bullet"/>
      <w:lvlText w:val=""/>
      <w:lvlJc w:val="left"/>
      <w:pPr>
        <w:ind w:left="4419" w:hanging="360"/>
      </w:pPr>
      <w:rPr>
        <w:rFonts w:ascii="Wingdings" w:hAnsi="Wingdings" w:hint="default"/>
      </w:rPr>
    </w:lvl>
    <w:lvl w:ilvl="6" w:tentative="1">
      <w:start w:val="1"/>
      <w:numFmt w:val="bullet"/>
      <w:lvlText w:val=""/>
      <w:lvlJc w:val="left"/>
      <w:pPr>
        <w:ind w:left="5139" w:hanging="360"/>
      </w:pPr>
      <w:rPr>
        <w:rFonts w:ascii="Symbol" w:hAnsi="Symbol" w:hint="default"/>
      </w:rPr>
    </w:lvl>
    <w:lvl w:ilvl="7" w:tentative="1">
      <w:start w:val="1"/>
      <w:numFmt w:val="bullet"/>
      <w:lvlText w:val="o"/>
      <w:lvlJc w:val="left"/>
      <w:pPr>
        <w:ind w:left="5859" w:hanging="360"/>
      </w:pPr>
      <w:rPr>
        <w:rFonts w:ascii="Courier New" w:hAnsi="Courier New" w:hint="default"/>
      </w:rPr>
    </w:lvl>
    <w:lvl w:ilvl="8" w:tentative="1">
      <w:start w:val="1"/>
      <w:numFmt w:val="bullet"/>
      <w:lvlText w:val=""/>
      <w:lvlJc w:val="left"/>
      <w:pPr>
        <w:ind w:left="6579" w:hanging="360"/>
      </w:pPr>
      <w:rPr>
        <w:rFonts w:ascii="Wingdings" w:hAnsi="Wingdings" w:hint="default"/>
      </w:rPr>
    </w:lvl>
  </w:abstractNum>
  <w:num w:numId="1" w16cid:durableId="164030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158DE"/>
    <w:rsid w:val="000157A9"/>
    <w:rsid w:val="000578D8"/>
    <w:rsid w:val="001022E6"/>
    <w:rsid w:val="0015467D"/>
    <w:rsid w:val="00190A32"/>
    <w:rsid w:val="001D0DA0"/>
    <w:rsid w:val="002754A7"/>
    <w:rsid w:val="0028065E"/>
    <w:rsid w:val="003472F1"/>
    <w:rsid w:val="004D1A3E"/>
    <w:rsid w:val="00525612"/>
    <w:rsid w:val="00527E30"/>
    <w:rsid w:val="00546BE9"/>
    <w:rsid w:val="005B2465"/>
    <w:rsid w:val="005C6977"/>
    <w:rsid w:val="005E4D5D"/>
    <w:rsid w:val="007158DE"/>
    <w:rsid w:val="007345FF"/>
    <w:rsid w:val="00746E6D"/>
    <w:rsid w:val="008137FE"/>
    <w:rsid w:val="0081503D"/>
    <w:rsid w:val="0092486E"/>
    <w:rsid w:val="009B1A21"/>
    <w:rsid w:val="00A0446D"/>
    <w:rsid w:val="00A131D2"/>
    <w:rsid w:val="00AE0B61"/>
    <w:rsid w:val="00B734B3"/>
    <w:rsid w:val="00B933ED"/>
    <w:rsid w:val="00C75E67"/>
    <w:rsid w:val="00D07C2F"/>
    <w:rsid w:val="00E87B64"/>
    <w:rsid w:val="00EC7CCE"/>
    <w:rsid w:val="00FC0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92D"/>
  <w15:docId w15:val="{BF1D95FE-46A4-4D8D-9295-3347A938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58DE"/>
    <w:rPr>
      <w:rFonts w:ascii="Times New Roman" w:eastAsia="Times New Roman" w:hAnsi="Times New Roman" w:cs="Times New Roman"/>
      <w:lang w:val="uk-UA"/>
    </w:rPr>
  </w:style>
  <w:style w:type="paragraph" w:styleId="5">
    <w:name w:val="heading 5"/>
    <w:basedOn w:val="a"/>
    <w:next w:val="a"/>
    <w:link w:val="50"/>
    <w:qFormat/>
    <w:rsid w:val="00B933ED"/>
    <w:pPr>
      <w:adjustRightInd w:val="0"/>
      <w:spacing w:before="240" w:after="60"/>
      <w:outlineLvl w:val="4"/>
    </w:pPr>
    <w:rPr>
      <w:rFonts w:ascii="Arial" w:eastAsia="SimSun" w:hAnsi="Arial" w:cs="Ari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1"/>
    <w:qFormat/>
    <w:rsid w:val="001022E6"/>
  </w:style>
  <w:style w:type="character" w:customStyle="1" w:styleId="50">
    <w:name w:val="Заголовок 5 Знак"/>
    <w:basedOn w:val="a0"/>
    <w:link w:val="5"/>
    <w:rsid w:val="00B933ED"/>
    <w:rPr>
      <w:rFonts w:ascii="Arial" w:eastAsia="SimSun" w:hAnsi="Arial" w:cs="Arial"/>
      <w:b/>
      <w:bCs/>
      <w:i/>
      <w:iCs/>
      <w:sz w:val="26"/>
      <w:szCs w:val="26"/>
      <w:lang w:val="ru-RU" w:eastAsia="ru-RU"/>
    </w:rPr>
  </w:style>
  <w:style w:type="paragraph" w:styleId="a6">
    <w:name w:val="header"/>
    <w:basedOn w:val="a"/>
    <w:link w:val="a7"/>
    <w:uiPriority w:val="99"/>
    <w:unhideWhenUsed/>
    <w:rsid w:val="00527E30"/>
    <w:pPr>
      <w:tabs>
        <w:tab w:val="center" w:pos="4677"/>
        <w:tab w:val="right" w:pos="9355"/>
      </w:tabs>
    </w:pPr>
  </w:style>
  <w:style w:type="character" w:customStyle="1" w:styleId="a7">
    <w:name w:val="Верхній колонтитул Знак"/>
    <w:basedOn w:val="a0"/>
    <w:link w:val="a6"/>
    <w:uiPriority w:val="99"/>
    <w:rsid w:val="00527E30"/>
    <w:rPr>
      <w:rFonts w:ascii="Times New Roman" w:eastAsia="Times New Roman" w:hAnsi="Times New Roman" w:cs="Times New Roman"/>
      <w:lang w:val="uk-UA"/>
    </w:rPr>
  </w:style>
  <w:style w:type="paragraph" w:styleId="a8">
    <w:name w:val="footer"/>
    <w:basedOn w:val="a"/>
    <w:link w:val="a9"/>
    <w:uiPriority w:val="99"/>
    <w:unhideWhenUsed/>
    <w:rsid w:val="00527E30"/>
    <w:pPr>
      <w:tabs>
        <w:tab w:val="center" w:pos="4677"/>
        <w:tab w:val="right" w:pos="9355"/>
      </w:tabs>
    </w:pPr>
  </w:style>
  <w:style w:type="character" w:customStyle="1" w:styleId="a9">
    <w:name w:val="Нижній колонтитул Знак"/>
    <w:basedOn w:val="a0"/>
    <w:link w:val="a8"/>
    <w:uiPriority w:val="99"/>
    <w:rsid w:val="00527E30"/>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8612-746B-4067-8B21-1FC51B1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6508</Words>
  <Characters>3711</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14</cp:revision>
  <dcterms:created xsi:type="dcterms:W3CDTF">2022-04-22T09:33:00Z</dcterms:created>
  <dcterms:modified xsi:type="dcterms:W3CDTF">2025-08-19T08:46:00Z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