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71CE" w:rsidRDefault="00CC5DD5" w:rsidP="00CC5DD5">
      <w:pPr>
        <w:ind w:firstLine="709"/>
        <w:jc w:val="center"/>
        <w:rPr>
          <w:rFonts w:ascii="Times New Roman" w:hAnsi="Times New Roman" w:cs="Times New Roman"/>
          <w:b/>
          <w:bCs/>
        </w:rPr>
      </w:pPr>
      <w:r w:rsidRPr="00CC71CE">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CC71CE" w:rsidRDefault="00CC5DD5" w:rsidP="00BB563B">
      <w:pPr>
        <w:spacing w:before="100" w:beforeAutospacing="1" w:after="0"/>
        <w:ind w:left="-851" w:firstLine="708"/>
        <w:jc w:val="both"/>
        <w:rPr>
          <w:rFonts w:ascii="Times New Roman" w:hAnsi="Times New Roman" w:cs="Times New Roman"/>
        </w:rPr>
      </w:pPr>
      <w:r w:rsidRPr="00CC71CE">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CC71CE">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71CE">
        <w:rPr>
          <w:rFonts w:ascii="Times New Roman" w:hAnsi="Times New Roman" w:cs="Times New Roman"/>
        </w:rPr>
        <w:t>.</w:t>
      </w:r>
    </w:p>
    <w:tbl>
      <w:tblPr>
        <w:tblW w:w="10893" w:type="dxa"/>
        <w:tblInd w:w="-978" w:type="dxa"/>
        <w:tblLayout w:type="fixed"/>
        <w:tblLook w:val="04A0"/>
      </w:tblPr>
      <w:tblGrid>
        <w:gridCol w:w="3120"/>
        <w:gridCol w:w="7773"/>
      </w:tblGrid>
      <w:tr w:rsidR="00476E09" w:rsidRPr="00CC71CE"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CC71CE" w:rsidRDefault="00476E09" w:rsidP="00A62BC0">
            <w:pPr>
              <w:pStyle w:val="aa"/>
              <w:spacing w:line="23" w:lineRule="atLeast"/>
              <w:jc w:val="both"/>
              <w:rPr>
                <w:sz w:val="22"/>
                <w:szCs w:val="22"/>
              </w:rPr>
            </w:pPr>
            <w:r w:rsidRPr="00CC71CE">
              <w:rPr>
                <w:sz w:val="22"/>
                <w:szCs w:val="22"/>
              </w:rPr>
              <w:t>Найменування, місцезнаходження та</w:t>
            </w:r>
            <w:r w:rsidRPr="00CC71CE">
              <w:rPr>
                <w:spacing w:val="1"/>
                <w:sz w:val="22"/>
                <w:szCs w:val="22"/>
              </w:rPr>
              <w:t xml:space="preserve"> </w:t>
            </w:r>
            <w:r w:rsidRPr="00CC71CE">
              <w:rPr>
                <w:sz w:val="22"/>
                <w:szCs w:val="22"/>
              </w:rPr>
              <w:t>ідентифікаційний код</w:t>
            </w:r>
            <w:r w:rsidRPr="00CC71CE">
              <w:rPr>
                <w:spacing w:val="1"/>
                <w:sz w:val="22"/>
                <w:szCs w:val="22"/>
              </w:rPr>
              <w:t xml:space="preserve"> </w:t>
            </w:r>
            <w:r w:rsidRPr="00CC71CE">
              <w:rPr>
                <w:sz w:val="22"/>
                <w:szCs w:val="22"/>
              </w:rPr>
              <w:t>замовника в Єдиному</w:t>
            </w:r>
            <w:r w:rsidRPr="00CC71CE">
              <w:rPr>
                <w:spacing w:val="1"/>
                <w:sz w:val="22"/>
                <w:szCs w:val="22"/>
              </w:rPr>
              <w:t xml:space="preserve"> </w:t>
            </w:r>
            <w:r w:rsidRPr="00CC71CE">
              <w:rPr>
                <w:sz w:val="22"/>
                <w:szCs w:val="22"/>
              </w:rPr>
              <w:t>державному реєстрі</w:t>
            </w:r>
            <w:r w:rsidRPr="00CC71CE">
              <w:rPr>
                <w:spacing w:val="1"/>
                <w:sz w:val="22"/>
                <w:szCs w:val="22"/>
              </w:rPr>
              <w:t xml:space="preserve"> </w:t>
            </w:r>
            <w:r w:rsidRPr="00CC71CE">
              <w:rPr>
                <w:sz w:val="22"/>
                <w:szCs w:val="22"/>
              </w:rPr>
              <w:t>юридичних осіб, фізичних</w:t>
            </w:r>
            <w:r w:rsidRPr="00CC71CE">
              <w:rPr>
                <w:spacing w:val="-58"/>
                <w:sz w:val="22"/>
                <w:szCs w:val="22"/>
              </w:rPr>
              <w:t xml:space="preserve"> </w:t>
            </w:r>
            <w:r w:rsidRPr="00CC71CE">
              <w:rPr>
                <w:sz w:val="22"/>
                <w:szCs w:val="22"/>
              </w:rPr>
              <w:t>осіб - підприємців та</w:t>
            </w:r>
            <w:r w:rsidRPr="00CC71CE">
              <w:rPr>
                <w:spacing w:val="1"/>
                <w:sz w:val="22"/>
                <w:szCs w:val="22"/>
              </w:rPr>
              <w:t xml:space="preserve"> </w:t>
            </w:r>
            <w:r w:rsidRPr="00CC71CE">
              <w:rPr>
                <w:sz w:val="22"/>
                <w:szCs w:val="22"/>
              </w:rPr>
              <w:t>громадських формувань,</w:t>
            </w:r>
            <w:r w:rsidRPr="00CC71CE">
              <w:rPr>
                <w:spacing w:val="1"/>
                <w:sz w:val="22"/>
                <w:szCs w:val="22"/>
              </w:rPr>
              <w:t xml:space="preserve"> </w:t>
            </w:r>
            <w:r w:rsidRPr="00CC71CE">
              <w:rPr>
                <w:sz w:val="22"/>
                <w:szCs w:val="22"/>
              </w:rPr>
              <w:t>його</w:t>
            </w:r>
            <w:r w:rsidRPr="00CC71CE">
              <w:rPr>
                <w:spacing w:val="-2"/>
                <w:sz w:val="22"/>
                <w:szCs w:val="22"/>
              </w:rPr>
              <w:t xml:space="preserve"> </w:t>
            </w:r>
            <w:r w:rsidRPr="00CC71CE">
              <w:rPr>
                <w:sz w:val="22"/>
                <w:szCs w:val="22"/>
              </w:rPr>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CC71CE" w:rsidRDefault="00476E09" w:rsidP="00A62BC0">
            <w:pPr>
              <w:pStyle w:val="TableParagraph"/>
              <w:spacing w:line="23" w:lineRule="atLeast"/>
              <w:ind w:left="0"/>
              <w:jc w:val="both"/>
              <w:rPr>
                <w:b/>
              </w:rPr>
            </w:pPr>
            <w:r w:rsidRPr="00CC71CE">
              <w:rPr>
                <w:b/>
              </w:rPr>
              <w:t xml:space="preserve">Виконавчий комітет Белзької міської ради Львівської області, </w:t>
            </w:r>
          </w:p>
          <w:p w:rsidR="00476E09" w:rsidRPr="00CC71CE" w:rsidRDefault="00476E09" w:rsidP="00A62BC0">
            <w:pPr>
              <w:pStyle w:val="TableParagraph"/>
              <w:spacing w:line="23" w:lineRule="atLeast"/>
              <w:ind w:left="0"/>
              <w:jc w:val="both"/>
            </w:pPr>
            <w:r w:rsidRPr="00CC71CE">
              <w:t xml:space="preserve">80062, Україна, Львівська область, </w:t>
            </w:r>
            <w:r w:rsidR="00431AD0" w:rsidRPr="00CC71CE">
              <w:t xml:space="preserve">Червоноградський р-н., </w:t>
            </w:r>
            <w:r w:rsidRPr="00CC71CE">
              <w:t>місто</w:t>
            </w:r>
            <w:r w:rsidRPr="00CC71CE">
              <w:rPr>
                <w:spacing w:val="1"/>
              </w:rPr>
              <w:t xml:space="preserve"> </w:t>
            </w:r>
            <w:r w:rsidRPr="00CC71CE">
              <w:t>Белз, вул.</w:t>
            </w:r>
            <w:r w:rsidRPr="00CC71CE">
              <w:rPr>
                <w:spacing w:val="-1"/>
              </w:rPr>
              <w:t xml:space="preserve"> </w:t>
            </w:r>
            <w:r w:rsidRPr="00CC71CE">
              <w:t>Домініканська, буд</w:t>
            </w:r>
            <w:r w:rsidRPr="00CC71CE">
              <w:rPr>
                <w:spacing w:val="-1"/>
              </w:rPr>
              <w:t xml:space="preserve"> 1</w:t>
            </w:r>
            <w:r w:rsidRPr="00CC71CE">
              <w:t>,</w:t>
            </w:r>
          </w:p>
          <w:p w:rsidR="00476E09" w:rsidRPr="00CC71CE" w:rsidRDefault="00476E09" w:rsidP="00A62BC0">
            <w:pPr>
              <w:pStyle w:val="TableParagraph"/>
              <w:spacing w:line="23" w:lineRule="atLeast"/>
              <w:ind w:left="0"/>
              <w:jc w:val="both"/>
            </w:pPr>
            <w:r w:rsidRPr="00CC71CE">
              <w:t>код</w:t>
            </w:r>
            <w:r w:rsidRPr="00CC71CE">
              <w:rPr>
                <w:spacing w:val="-2"/>
              </w:rPr>
              <w:t xml:space="preserve"> </w:t>
            </w:r>
            <w:r w:rsidRPr="00CC71CE">
              <w:t>за</w:t>
            </w:r>
            <w:r w:rsidRPr="00CC71CE">
              <w:rPr>
                <w:spacing w:val="-2"/>
              </w:rPr>
              <w:t xml:space="preserve"> </w:t>
            </w:r>
            <w:r w:rsidRPr="00CC71CE">
              <w:t>ЄДРПОУ 36739391,</w:t>
            </w:r>
          </w:p>
          <w:p w:rsidR="00476E09" w:rsidRPr="00CC71CE" w:rsidRDefault="00476E09" w:rsidP="00A62BC0">
            <w:pPr>
              <w:pStyle w:val="TableParagraph"/>
              <w:spacing w:line="23" w:lineRule="atLeast"/>
              <w:ind w:left="0"/>
              <w:jc w:val="both"/>
            </w:pPr>
            <w:r w:rsidRPr="00CC71CE">
              <w:t>підприємства,</w:t>
            </w:r>
            <w:r w:rsidRPr="00CC71CE">
              <w:rPr>
                <w:spacing w:val="1"/>
              </w:rPr>
              <w:t xml:space="preserve"> </w:t>
            </w:r>
            <w:r w:rsidRPr="00CC71CE">
              <w:t>установи,</w:t>
            </w:r>
            <w:r w:rsidRPr="00CC71CE">
              <w:rPr>
                <w:spacing w:val="1"/>
              </w:rPr>
              <w:t xml:space="preserve"> </w:t>
            </w:r>
            <w:r w:rsidRPr="00CC71CE">
              <w:t>організації,</w:t>
            </w:r>
            <w:r w:rsidRPr="00CC71CE">
              <w:rPr>
                <w:spacing w:val="1"/>
              </w:rPr>
              <w:t xml:space="preserve"> </w:t>
            </w:r>
            <w:r w:rsidRPr="00CC71CE">
              <w:t>зазначені</w:t>
            </w:r>
            <w:r w:rsidRPr="00CC71CE">
              <w:rPr>
                <w:spacing w:val="1"/>
              </w:rPr>
              <w:t xml:space="preserve"> </w:t>
            </w:r>
            <w:r w:rsidRPr="00CC71CE">
              <w:t>у пункті 3 частини</w:t>
            </w:r>
            <w:r w:rsidRPr="00CC71CE">
              <w:rPr>
                <w:spacing w:val="-5"/>
              </w:rPr>
              <w:t xml:space="preserve"> </w:t>
            </w:r>
            <w:r w:rsidRPr="00CC71CE">
              <w:t>першої статті 2 Закону України «Про</w:t>
            </w:r>
            <w:r w:rsidRPr="00CC71CE">
              <w:rPr>
                <w:spacing w:val="1"/>
              </w:rPr>
              <w:t xml:space="preserve"> </w:t>
            </w:r>
            <w:r w:rsidRPr="00CC71CE">
              <w:t>публічні</w:t>
            </w:r>
            <w:r w:rsidRPr="00CC71CE">
              <w:rPr>
                <w:spacing w:val="1"/>
              </w:rPr>
              <w:t xml:space="preserve"> </w:t>
            </w:r>
            <w:r w:rsidRPr="00CC71CE">
              <w:t>закупівлі»</w:t>
            </w:r>
            <w:r w:rsidRPr="00CC71CE">
              <w:rPr>
                <w:spacing w:val="1"/>
              </w:rPr>
              <w:t xml:space="preserve"> </w:t>
            </w:r>
            <w:r w:rsidRPr="00CC71CE">
              <w:t>(Орган</w:t>
            </w:r>
            <w:r w:rsidRPr="00CC71CE">
              <w:rPr>
                <w:spacing w:val="1"/>
              </w:rPr>
              <w:t xml:space="preserve"> </w:t>
            </w:r>
            <w:r w:rsidRPr="00CC71CE">
              <w:t>державної</w:t>
            </w:r>
            <w:r w:rsidRPr="00CC71CE">
              <w:rPr>
                <w:spacing w:val="1"/>
              </w:rPr>
              <w:t xml:space="preserve"> </w:t>
            </w:r>
            <w:r w:rsidRPr="00CC71CE">
              <w:t>влади,</w:t>
            </w:r>
            <w:r w:rsidRPr="00CC71CE">
              <w:rPr>
                <w:spacing w:val="1"/>
              </w:rPr>
              <w:t xml:space="preserve"> </w:t>
            </w:r>
            <w:r w:rsidRPr="00CC71CE">
              <w:t>місцевого</w:t>
            </w:r>
            <w:r w:rsidRPr="00CC71CE">
              <w:rPr>
                <w:spacing w:val="1"/>
              </w:rPr>
              <w:t xml:space="preserve"> </w:t>
            </w:r>
            <w:r w:rsidRPr="00CC71CE">
              <w:t>самоврядування</w:t>
            </w:r>
            <w:r w:rsidRPr="00CC71CE">
              <w:rPr>
                <w:spacing w:val="1"/>
              </w:rPr>
              <w:t xml:space="preserve"> </w:t>
            </w:r>
            <w:r w:rsidRPr="00CC71CE">
              <w:t>або</w:t>
            </w:r>
            <w:r w:rsidRPr="00CC71CE">
              <w:rPr>
                <w:spacing w:val="1"/>
              </w:rPr>
              <w:t xml:space="preserve"> </w:t>
            </w:r>
            <w:r w:rsidRPr="00CC71CE">
              <w:t>правоохоронний</w:t>
            </w:r>
            <w:r w:rsidRPr="00CC71CE">
              <w:rPr>
                <w:spacing w:val="-1"/>
              </w:rPr>
              <w:t xml:space="preserve"> </w:t>
            </w:r>
            <w:r w:rsidRPr="00CC71CE">
              <w:t>орган)</w:t>
            </w:r>
          </w:p>
        </w:tc>
      </w:tr>
      <w:tr w:rsidR="00CC5DD5" w:rsidRPr="00CC71CE"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CC71CE" w:rsidRDefault="00CC5DD5">
            <w:pPr>
              <w:jc w:val="center"/>
              <w:rPr>
                <w:rFonts w:ascii="Times New Roman" w:hAnsi="Times New Roman" w:cs="Times New Roman"/>
                <w:b/>
                <w:lang w:val="ru-RU" w:eastAsia="ru-RU"/>
              </w:rPr>
            </w:pPr>
            <w:r w:rsidRPr="00CC71CE">
              <w:rPr>
                <w:rFonts w:ascii="Times New Roman" w:hAnsi="Times New Roman" w:cs="Times New Roman"/>
                <w:b/>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77E08" w:rsidRPr="00CC71CE" w:rsidRDefault="00477E08" w:rsidP="00477E08">
            <w:pPr>
              <w:spacing w:after="0" w:line="240" w:lineRule="auto"/>
              <w:rPr>
                <w:rFonts w:ascii="Times New Roman" w:hAnsi="Times New Roman" w:cs="Times New Roman"/>
                <w:b/>
                <w:color w:val="212121"/>
              </w:rPr>
            </w:pPr>
            <w:r w:rsidRPr="00CC71CE">
              <w:rPr>
                <w:rFonts w:ascii="Times New Roman" w:hAnsi="Times New Roman" w:cs="Times New Roman"/>
                <w:b/>
                <w:color w:val="212121"/>
              </w:rPr>
              <w:t>Засоби радіоелектронного захисту (РЕБ)</w:t>
            </w:r>
          </w:p>
          <w:p w:rsidR="00CC5DD5" w:rsidRPr="00CC71CE" w:rsidRDefault="00477E08" w:rsidP="00477E08">
            <w:pPr>
              <w:spacing w:after="0" w:line="240" w:lineRule="auto"/>
              <w:rPr>
                <w:rFonts w:ascii="Times New Roman" w:eastAsia="Times New Roman" w:hAnsi="Times New Roman" w:cs="Times New Roman"/>
                <w:b/>
                <w:color w:val="000000"/>
              </w:rPr>
            </w:pPr>
            <w:r w:rsidRPr="00CC71CE">
              <w:rPr>
                <w:rFonts w:ascii="Times New Roman" w:hAnsi="Times New Roman" w:cs="Times New Roman"/>
                <w:b/>
                <w:color w:val="212121"/>
              </w:rPr>
              <w:t>(ДК 021: 2015 - 35730000-0 « Електронні бойові комплекси та засоби радіоелектронного захисту»)</w:t>
            </w:r>
            <w:bookmarkStart w:id="0" w:name="_GoBack"/>
            <w:bookmarkEnd w:id="0"/>
          </w:p>
        </w:tc>
      </w:tr>
      <w:tr w:rsidR="00476E09" w:rsidRPr="00CC71CE"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rsidP="00A62BC0">
            <w:pPr>
              <w:pStyle w:val="aa"/>
              <w:spacing w:line="23" w:lineRule="atLeast"/>
              <w:jc w:val="both"/>
              <w:rPr>
                <w:b w:val="0"/>
                <w:sz w:val="22"/>
                <w:szCs w:val="22"/>
              </w:rPr>
            </w:pPr>
            <w:r w:rsidRPr="00CC71CE">
              <w:rPr>
                <w:sz w:val="22"/>
                <w:szCs w:val="22"/>
              </w:rPr>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CC71CE" w:rsidRDefault="00CC71CE" w:rsidP="00A62BC0">
            <w:pPr>
              <w:pStyle w:val="aa"/>
              <w:spacing w:line="23" w:lineRule="atLeast"/>
              <w:jc w:val="both"/>
              <w:rPr>
                <w:b w:val="0"/>
                <w:sz w:val="22"/>
                <w:szCs w:val="22"/>
              </w:rPr>
            </w:pPr>
            <w:r w:rsidRPr="00CC71CE">
              <w:rPr>
                <w:b w:val="0"/>
                <w:color w:val="000000"/>
                <w:sz w:val="22"/>
                <w:szCs w:val="22"/>
                <w:shd w:val="clear" w:color="auto" w:fill="FDFEFD"/>
              </w:rPr>
              <w:t>Звіт про договір про закупівлю, укладений без використання електронної системи закупівель (зг. пп. 6 п. 13 Особливостей)</w:t>
            </w:r>
            <w:r w:rsidR="00BB563B" w:rsidRPr="00CC71CE">
              <w:rPr>
                <w:b w:val="0"/>
                <w:sz w:val="22"/>
                <w:szCs w:val="22"/>
              </w:rPr>
              <w:t xml:space="preserve"> </w:t>
            </w:r>
          </w:p>
          <w:p w:rsidR="00476E09" w:rsidRPr="00CC71CE" w:rsidRDefault="00476E09" w:rsidP="00CC71CE">
            <w:pPr>
              <w:pStyle w:val="aa"/>
              <w:spacing w:line="23" w:lineRule="atLeast"/>
              <w:jc w:val="both"/>
              <w:rPr>
                <w:b w:val="0"/>
                <w:color w:val="FF0000"/>
                <w:sz w:val="22"/>
                <w:szCs w:val="22"/>
              </w:rPr>
            </w:pPr>
            <w:r w:rsidRPr="00CC71CE">
              <w:rPr>
                <w:b w:val="0"/>
                <w:sz w:val="22"/>
                <w:szCs w:val="22"/>
              </w:rPr>
              <w:t>(</w:t>
            </w:r>
            <w:r w:rsidR="00477E08" w:rsidRPr="00CC71CE">
              <w:rPr>
                <w:b w:val="0"/>
                <w:color w:val="000000"/>
                <w:sz w:val="22"/>
                <w:szCs w:val="22"/>
                <w:shd w:val="clear" w:color="auto" w:fill="F3F3F3"/>
              </w:rPr>
              <w:t>UA-2024-0</w:t>
            </w:r>
            <w:r w:rsidR="00CC71CE" w:rsidRPr="00CC71CE">
              <w:rPr>
                <w:b w:val="0"/>
                <w:color w:val="000000"/>
                <w:sz w:val="22"/>
                <w:szCs w:val="22"/>
                <w:shd w:val="clear" w:color="auto" w:fill="F3F3F3"/>
              </w:rPr>
              <w:t>6</w:t>
            </w:r>
            <w:r w:rsidR="00477E08" w:rsidRPr="00CC71CE">
              <w:rPr>
                <w:b w:val="0"/>
                <w:color w:val="000000"/>
                <w:sz w:val="22"/>
                <w:szCs w:val="22"/>
                <w:shd w:val="clear" w:color="auto" w:fill="F3F3F3"/>
              </w:rPr>
              <w:t>-</w:t>
            </w:r>
            <w:r w:rsidR="00CC71CE" w:rsidRPr="00CC71CE">
              <w:rPr>
                <w:b w:val="0"/>
                <w:color w:val="000000"/>
                <w:sz w:val="22"/>
                <w:szCs w:val="22"/>
                <w:shd w:val="clear" w:color="auto" w:fill="F3F3F3"/>
              </w:rPr>
              <w:t>18</w:t>
            </w:r>
            <w:r w:rsidR="00477E08" w:rsidRPr="00CC71CE">
              <w:rPr>
                <w:b w:val="0"/>
                <w:color w:val="000000"/>
                <w:sz w:val="22"/>
                <w:szCs w:val="22"/>
                <w:shd w:val="clear" w:color="auto" w:fill="F3F3F3"/>
              </w:rPr>
              <w:t>-</w:t>
            </w:r>
            <w:r w:rsidR="00CC71CE" w:rsidRPr="00CC71CE">
              <w:rPr>
                <w:b w:val="0"/>
                <w:color w:val="000000"/>
                <w:sz w:val="22"/>
                <w:szCs w:val="22"/>
                <w:shd w:val="clear" w:color="auto" w:fill="F3F3F3"/>
              </w:rPr>
              <w:t>007416</w:t>
            </w:r>
            <w:r w:rsidR="00477E08" w:rsidRPr="00CC71CE">
              <w:rPr>
                <w:b w:val="0"/>
                <w:color w:val="000000"/>
                <w:sz w:val="22"/>
                <w:szCs w:val="22"/>
                <w:shd w:val="clear" w:color="auto" w:fill="F3F3F3"/>
              </w:rPr>
              <w:t>-a</w:t>
            </w:r>
            <w:r w:rsidR="00BB563B" w:rsidRPr="00CC71CE">
              <w:rPr>
                <w:b w:val="0"/>
                <w:color w:val="000000"/>
                <w:sz w:val="22"/>
                <w:szCs w:val="22"/>
                <w:shd w:val="clear" w:color="auto" w:fill="F3F3F3"/>
              </w:rPr>
              <w:t>)</w:t>
            </w:r>
          </w:p>
        </w:tc>
      </w:tr>
      <w:tr w:rsidR="00476E09" w:rsidRPr="00CC71CE"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pPr>
              <w:jc w:val="center"/>
              <w:rPr>
                <w:rFonts w:ascii="Times New Roman" w:hAnsi="Times New Roman" w:cs="Times New Roman"/>
                <w:b/>
                <w:shd w:val="clear" w:color="auto" w:fill="FFFFFF"/>
              </w:rPr>
            </w:pPr>
            <w:r w:rsidRPr="00CC71CE">
              <w:rPr>
                <w:rFonts w:ascii="Times New Roman" w:hAnsi="Times New Roman" w:cs="Times New Roman"/>
                <w:b/>
              </w:rPr>
              <w:t xml:space="preserve">Обґрунтування </w:t>
            </w:r>
            <w:r w:rsidRPr="00CC71CE">
              <w:rPr>
                <w:rFonts w:ascii="Times New Roman" w:hAnsi="Times New Roman" w:cs="Times New Roman"/>
                <w:b/>
                <w:shd w:val="clear" w:color="auto" w:fill="FFFFFF"/>
              </w:rPr>
              <w:t>розміру бюджетного призначення</w:t>
            </w:r>
          </w:p>
          <w:p w:rsidR="00476E09" w:rsidRPr="00CC71CE" w:rsidRDefault="00476E09">
            <w:pPr>
              <w:jc w:val="center"/>
              <w:rPr>
                <w:rFonts w:ascii="Times New Roman" w:hAnsi="Times New Roman" w:cs="Times New Roman"/>
                <w:b/>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CC71CE" w:rsidRDefault="00477E08" w:rsidP="00BB563B">
            <w:pPr>
              <w:pStyle w:val="aa"/>
              <w:spacing w:line="23" w:lineRule="atLeast"/>
              <w:jc w:val="both"/>
              <w:rPr>
                <w:b w:val="0"/>
                <w:sz w:val="22"/>
                <w:szCs w:val="22"/>
                <w:lang w:eastAsia="uk-UA"/>
              </w:rPr>
            </w:pPr>
            <w:r w:rsidRPr="00CC71CE">
              <w:rPr>
                <w:b w:val="0"/>
                <w:sz w:val="22"/>
                <w:szCs w:val="22"/>
                <w:lang w:eastAsia="uk-UA"/>
              </w:rPr>
              <w:t xml:space="preserve">288 </w:t>
            </w:r>
            <w:r w:rsidR="00CC71CE" w:rsidRPr="00CC71CE">
              <w:rPr>
                <w:b w:val="0"/>
                <w:sz w:val="22"/>
                <w:szCs w:val="22"/>
                <w:lang w:eastAsia="uk-UA"/>
              </w:rPr>
              <w:t>0</w:t>
            </w:r>
            <w:r w:rsidRPr="00CC71CE">
              <w:rPr>
                <w:b w:val="0"/>
                <w:sz w:val="22"/>
                <w:szCs w:val="22"/>
                <w:lang w:eastAsia="uk-UA"/>
              </w:rPr>
              <w:t>00</w:t>
            </w:r>
            <w:r w:rsidR="00476E09" w:rsidRPr="00CC71CE">
              <w:rPr>
                <w:b w:val="0"/>
                <w:sz w:val="22"/>
                <w:szCs w:val="22"/>
                <w:lang w:eastAsia="uk-UA"/>
              </w:rPr>
              <w:t>,00 грн.</w:t>
            </w:r>
            <w:r w:rsidR="00671B02" w:rsidRPr="00CC71CE">
              <w:rPr>
                <w:b w:val="0"/>
                <w:sz w:val="22"/>
                <w:szCs w:val="22"/>
                <w:lang w:eastAsia="uk-UA"/>
              </w:rPr>
              <w:t>,</w:t>
            </w:r>
            <w:r w:rsidR="00476E09" w:rsidRPr="00CC71CE">
              <w:rPr>
                <w:b w:val="0"/>
                <w:sz w:val="22"/>
                <w:szCs w:val="22"/>
                <w:lang w:eastAsia="uk-UA"/>
              </w:rPr>
              <w:t xml:space="preserve"> </w:t>
            </w:r>
            <w:r w:rsidR="00671B02" w:rsidRPr="00CC71CE">
              <w:rPr>
                <w:b w:val="0"/>
                <w:spacing w:val="7"/>
                <w:sz w:val="22"/>
                <w:szCs w:val="22"/>
                <w:shd w:val="clear" w:color="auto" w:fill="FFFFFF"/>
              </w:rPr>
              <w:t>сформований з урахуванням очікуваної вартості закупівлі</w:t>
            </w:r>
            <w:r w:rsidR="00476E09" w:rsidRPr="00CC71CE">
              <w:rPr>
                <w:b w:val="0"/>
                <w:sz w:val="22"/>
                <w:szCs w:val="22"/>
                <w:lang w:eastAsia="uk-UA"/>
              </w:rPr>
              <w:t>.</w:t>
            </w:r>
          </w:p>
          <w:p w:rsidR="00671B02" w:rsidRPr="00CC71CE" w:rsidRDefault="00671B02" w:rsidP="00671B02">
            <w:pPr>
              <w:pStyle w:val="aa"/>
              <w:spacing w:line="23" w:lineRule="atLeast"/>
              <w:jc w:val="both"/>
              <w:rPr>
                <w:b w:val="0"/>
                <w:iCs/>
                <w:spacing w:val="7"/>
                <w:sz w:val="22"/>
                <w:szCs w:val="22"/>
                <w:shd w:val="clear" w:color="auto" w:fill="FFFFFF"/>
              </w:rPr>
            </w:pPr>
            <w:r w:rsidRPr="00CC71CE">
              <w:rPr>
                <w:b w:val="0"/>
                <w:iCs/>
                <w:spacing w:val="7"/>
                <w:sz w:val="22"/>
                <w:szCs w:val="22"/>
                <w:shd w:val="clear" w:color="auto" w:fill="FFFFFF"/>
              </w:rPr>
              <w:t>Закупівля здійснюється відповідно до «</w:t>
            </w:r>
            <w:r w:rsidRPr="00CC71CE">
              <w:rPr>
                <w:b w:val="0"/>
                <w:sz w:val="22"/>
                <w:szCs w:val="22"/>
              </w:rPr>
              <w:t>Програми фінансової підтримки Збройних сил України, реалізації заходів та робіт з територіальної оборони на 2024 рік»</w:t>
            </w:r>
            <w:r w:rsidRPr="00CC71CE">
              <w:rPr>
                <w:b w:val="0"/>
                <w:iCs/>
                <w:spacing w:val="7"/>
                <w:sz w:val="22"/>
                <w:szCs w:val="22"/>
                <w:shd w:val="clear" w:color="auto" w:fill="FFFFFF"/>
              </w:rPr>
              <w:t>, затвердженої рішенням сесії Белзької  міської ради Львівської області від 22.12.2023р. №1279.</w:t>
            </w:r>
            <w:r w:rsidR="00431AD0" w:rsidRPr="00CC71CE">
              <w:rPr>
                <w:b w:val="0"/>
                <w:iCs/>
                <w:spacing w:val="7"/>
                <w:sz w:val="22"/>
                <w:szCs w:val="22"/>
                <w:shd w:val="clear" w:color="auto" w:fill="FFFFFF"/>
              </w:rPr>
              <w:t xml:space="preserve"> для </w:t>
            </w:r>
            <w:r w:rsidR="00431AD0" w:rsidRPr="00CC71CE">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CC71CE" w:rsidRDefault="00671B02" w:rsidP="00671B02">
            <w:pPr>
              <w:pStyle w:val="aa"/>
              <w:spacing w:line="23" w:lineRule="atLeast"/>
              <w:jc w:val="both"/>
              <w:rPr>
                <w:b w:val="0"/>
                <w:spacing w:val="7"/>
                <w:sz w:val="22"/>
                <w:szCs w:val="22"/>
                <w:shd w:val="clear" w:color="auto" w:fill="FFFFFF"/>
              </w:rPr>
            </w:pPr>
            <w:r w:rsidRPr="00CC71CE">
              <w:rPr>
                <w:b w:val="0"/>
                <w:spacing w:val="7"/>
                <w:sz w:val="22"/>
                <w:szCs w:val="22"/>
                <w:shd w:val="clear" w:color="auto" w:fill="FFFFFF"/>
              </w:rPr>
              <w:t>Джерело фінансування – кошти місцевого бюджету.</w:t>
            </w:r>
          </w:p>
          <w:p w:rsidR="00CC71CE" w:rsidRPr="00CC71CE" w:rsidRDefault="00CC71CE" w:rsidP="00671B02">
            <w:pPr>
              <w:pStyle w:val="aa"/>
              <w:spacing w:line="23" w:lineRule="atLeast"/>
              <w:jc w:val="both"/>
              <w:rPr>
                <w:b w:val="0"/>
                <w:sz w:val="22"/>
                <w:szCs w:val="22"/>
              </w:rPr>
            </w:pPr>
          </w:p>
        </w:tc>
      </w:tr>
      <w:tr w:rsidR="00CC5DD5" w:rsidRPr="00CC71CE"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rsidP="009B1704">
            <w:pPr>
              <w:pStyle w:val="newsdetailcardtext"/>
              <w:shd w:val="clear" w:color="auto" w:fill="FFFFFF"/>
              <w:spacing w:line="276" w:lineRule="auto"/>
              <w:jc w:val="both"/>
              <w:rPr>
                <w:sz w:val="22"/>
                <w:szCs w:val="22"/>
              </w:rPr>
            </w:pPr>
            <w:r w:rsidRPr="00CC71CE">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CC71CE">
              <w:rPr>
                <w:sz w:val="22"/>
                <w:szCs w:val="22"/>
              </w:rPr>
              <w:t xml:space="preserve">. А також для </w:t>
            </w:r>
            <w:r w:rsidR="00BB563B" w:rsidRPr="00CC71CE">
              <w:rPr>
                <w:sz w:val="22"/>
                <w:szCs w:val="22"/>
                <w:lang w:eastAsia="ru-RU"/>
              </w:rPr>
              <w:t>підвищення обороноздатності України</w:t>
            </w:r>
            <w:r w:rsidR="009B1704" w:rsidRPr="00CC71CE">
              <w:rPr>
                <w:sz w:val="22"/>
                <w:szCs w:val="22"/>
              </w:rPr>
              <w:t>.</w:t>
            </w:r>
          </w:p>
        </w:tc>
      </w:tr>
      <w:tr w:rsidR="00CC5DD5" w:rsidRPr="00CC71CE"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очікуваної</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CC71CE">
              <w:rPr>
                <w:sz w:val="22"/>
                <w:szCs w:val="22"/>
              </w:rPr>
              <w:t xml:space="preserve"> (зі змінами)</w:t>
            </w:r>
            <w:r w:rsidRPr="00CC71CE">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CC71CE">
              <w:rPr>
                <w:sz w:val="22"/>
                <w:szCs w:val="22"/>
              </w:rPr>
              <w:t>.</w:t>
            </w:r>
            <w:r w:rsidRPr="00CC71CE">
              <w:rPr>
                <w:sz w:val="22"/>
                <w:szCs w:val="22"/>
              </w:rPr>
              <w:t xml:space="preserve">  Основними джерелами інформації для визначення очікуваної вартості брали до уваги: </w:t>
            </w:r>
          </w:p>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 xml:space="preserve">1.  Інтернет ресурси. </w:t>
            </w:r>
          </w:p>
          <w:p w:rsidR="00CC5DD5" w:rsidRPr="00CC71CE" w:rsidRDefault="00CC5DD5" w:rsidP="00477E08">
            <w:pPr>
              <w:pStyle w:val="newsdetailcardtext"/>
              <w:shd w:val="clear" w:color="auto" w:fill="FFFFFF"/>
              <w:spacing w:before="0" w:beforeAutospacing="0" w:after="0" w:afterAutospacing="0"/>
              <w:jc w:val="both"/>
              <w:rPr>
                <w:sz w:val="22"/>
                <w:szCs w:val="22"/>
              </w:rPr>
            </w:pPr>
            <w:r w:rsidRPr="00CC71CE">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71CE" w:rsidRPr="00CC71CE" w:rsidRDefault="00CC71CE" w:rsidP="00477E08">
            <w:pPr>
              <w:pStyle w:val="newsdetailcardtext"/>
              <w:shd w:val="clear" w:color="auto" w:fill="FFFFFF"/>
              <w:spacing w:before="0" w:beforeAutospacing="0" w:after="0" w:afterAutospacing="0"/>
              <w:jc w:val="both"/>
              <w:rPr>
                <w:sz w:val="22"/>
                <w:szCs w:val="22"/>
              </w:rPr>
            </w:pPr>
            <w:r w:rsidRPr="00CC71CE">
              <w:rPr>
                <w:sz w:val="22"/>
                <w:szCs w:val="22"/>
                <w:highlight w:val="white"/>
              </w:rPr>
              <w:t>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CC71CE">
              <w:rPr>
                <w:sz w:val="22"/>
                <w:szCs w:val="22"/>
              </w:rPr>
              <w:t>.</w:t>
            </w:r>
          </w:p>
        </w:tc>
      </w:tr>
    </w:tbl>
    <w:p w:rsidR="009C6363" w:rsidRPr="00CC71CE" w:rsidRDefault="009C6363" w:rsidP="00CC5DD5">
      <w:pPr>
        <w:spacing w:after="0" w:line="240" w:lineRule="auto"/>
        <w:ind w:left="5660" w:firstLine="700"/>
        <w:jc w:val="right"/>
        <w:rPr>
          <w:rFonts w:ascii="Times New Roman" w:eastAsia="Times New Roman" w:hAnsi="Times New Roman" w:cs="Times New Roman"/>
          <w:lang w:eastAsia="zh-CN"/>
        </w:rPr>
      </w:pPr>
    </w:p>
    <w:sectPr w:rsidR="009C6363" w:rsidRPr="00CC71CE"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C46" w:rsidRDefault="00086C46">
      <w:pPr>
        <w:spacing w:after="0" w:line="240" w:lineRule="auto"/>
      </w:pPr>
      <w:r>
        <w:separator/>
      </w:r>
    </w:p>
  </w:endnote>
  <w:endnote w:type="continuationSeparator" w:id="1">
    <w:p w:rsidR="00086C46" w:rsidRDefault="0008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FB7B0F">
        <w:pPr>
          <w:pStyle w:val="1"/>
          <w:jc w:val="right"/>
        </w:pPr>
        <w:r>
          <w:fldChar w:fldCharType="begin"/>
        </w:r>
        <w:r w:rsidR="009C0234">
          <w:instrText>PAGE   \* MERGEFORMAT</w:instrText>
        </w:r>
        <w:r>
          <w:fldChar w:fldCharType="separate"/>
        </w:r>
        <w:r w:rsidR="00CC71CE">
          <w:rPr>
            <w:noProof/>
          </w:rPr>
          <w:t>1</w:t>
        </w:r>
        <w:r>
          <w:fldChar w:fldCharType="end"/>
        </w:r>
      </w:p>
    </w:sdtContent>
  </w:sdt>
  <w:p w:rsidR="00116357" w:rsidRDefault="00086C46">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C46" w:rsidRDefault="00086C46">
      <w:pPr>
        <w:spacing w:after="0" w:line="240" w:lineRule="auto"/>
      </w:pPr>
      <w:r>
        <w:separator/>
      </w:r>
    </w:p>
  </w:footnote>
  <w:footnote w:type="continuationSeparator" w:id="1">
    <w:p w:rsidR="00086C46" w:rsidRDefault="00086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33CF1"/>
    <w:rsid w:val="00172CD6"/>
    <w:rsid w:val="001906AC"/>
    <w:rsid w:val="00192880"/>
    <w:rsid w:val="001E6F3C"/>
    <w:rsid w:val="00225DD4"/>
    <w:rsid w:val="0023410C"/>
    <w:rsid w:val="00255C60"/>
    <w:rsid w:val="003116D9"/>
    <w:rsid w:val="00320730"/>
    <w:rsid w:val="00335F30"/>
    <w:rsid w:val="0034357D"/>
    <w:rsid w:val="0034493B"/>
    <w:rsid w:val="00380960"/>
    <w:rsid w:val="003A5BD4"/>
    <w:rsid w:val="00431AD0"/>
    <w:rsid w:val="00476E09"/>
    <w:rsid w:val="00477E08"/>
    <w:rsid w:val="004F22C2"/>
    <w:rsid w:val="00513FDF"/>
    <w:rsid w:val="00574AF2"/>
    <w:rsid w:val="00576845"/>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CC71CE"/>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2173</Words>
  <Characters>1240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2024-06-19T08:24:00Z</cp:lastPrinted>
  <dcterms:created xsi:type="dcterms:W3CDTF">2024-06-19T08:25:00Z</dcterms:created>
  <dcterms:modified xsi:type="dcterms:W3CDTF">2024-06-19T08:25:00Z</dcterms:modified>
</cp:coreProperties>
</file>