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4"/>
        <w:gridCol w:w="3905"/>
        <w:gridCol w:w="5727"/>
      </w:tblGrid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727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727" w:type="dxa"/>
          </w:tcPr>
          <w:p w:rsidR="000578D8" w:rsidRPr="000578D8" w:rsidRDefault="00D12AE9" w:rsidP="00616D70">
            <w:pPr>
              <w:jc w:val="both"/>
              <w:rPr>
                <w:b/>
              </w:rPr>
            </w:pPr>
            <w:r w:rsidRPr="00D12AE9">
              <w:rPr>
                <w:sz w:val="24"/>
                <w:szCs w:val="24"/>
              </w:rPr>
              <w:t>Телевізор за кодом CPV ДК 021:2015 “Єдиний закупівельний словник” 32320000-2 Телевізійне й аудіовізуальне обладнання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727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0578D8" w:rsidRPr="005E4D5D" w:rsidRDefault="00D12AE9" w:rsidP="00616D7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D12AE9">
              <w:rPr>
                <w:b w:val="0"/>
              </w:rPr>
              <w:t>UA-2023-12-11-</w:t>
            </w:r>
            <w:bookmarkStart w:id="0" w:name="_GoBack"/>
            <w:r w:rsidRPr="00D12AE9">
              <w:rPr>
                <w:b w:val="0"/>
              </w:rPr>
              <w:t>002278</w:t>
            </w:r>
            <w:bookmarkEnd w:id="0"/>
            <w:r w:rsidRPr="00D12AE9">
              <w:rPr>
                <w:b w:val="0"/>
              </w:rPr>
              <w:t>-a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DE0AC0" w:rsidRPr="00D12AE9" w:rsidRDefault="00D12AE9" w:rsidP="001C15C3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D12AE9">
              <w:rPr>
                <w:b/>
                <w:sz w:val="24"/>
                <w:szCs w:val="24"/>
              </w:rPr>
              <w:t xml:space="preserve">Телевізор – 20 шт. 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Розмір екрана не менше 43  дюймів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 xml:space="preserve">Дисплей 4K </w:t>
            </w:r>
            <w:proofErr w:type="spellStart"/>
            <w:r w:rsidRPr="00D12AE9">
              <w:rPr>
                <w:sz w:val="20"/>
                <w:szCs w:val="20"/>
              </w:rPr>
              <w:t>Ultra</w:t>
            </w:r>
            <w:proofErr w:type="spellEnd"/>
            <w:r w:rsidRPr="00D12AE9">
              <w:rPr>
                <w:sz w:val="20"/>
                <w:szCs w:val="20"/>
              </w:rPr>
              <w:t xml:space="preserve"> HD LED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Роздільна здатність панелі 3840 x 2160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Частота оновлення 60  Гц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 xml:space="preserve">Об’єм пам’яті  не менше 16 </w:t>
            </w:r>
            <w:proofErr w:type="spellStart"/>
            <w:r w:rsidRPr="00D12AE9">
              <w:rPr>
                <w:sz w:val="20"/>
                <w:szCs w:val="20"/>
              </w:rPr>
              <w:t>Гб</w:t>
            </w:r>
            <w:proofErr w:type="spellEnd"/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Динаміки, Вт:  не менше 2х10 Вт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 xml:space="preserve">Кількість </w:t>
            </w:r>
            <w:proofErr w:type="spellStart"/>
            <w:r w:rsidRPr="00D12AE9">
              <w:rPr>
                <w:sz w:val="20"/>
                <w:szCs w:val="20"/>
              </w:rPr>
              <w:t>роз’ємів</w:t>
            </w:r>
            <w:proofErr w:type="spellEnd"/>
            <w:r w:rsidRPr="00D12AE9">
              <w:rPr>
                <w:sz w:val="20"/>
                <w:szCs w:val="20"/>
              </w:rPr>
              <w:t xml:space="preserve"> HDMI не менше 4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Кількість USB-</w:t>
            </w:r>
            <w:proofErr w:type="spellStart"/>
            <w:r w:rsidRPr="00D12AE9">
              <w:rPr>
                <w:sz w:val="20"/>
                <w:szCs w:val="20"/>
              </w:rPr>
              <w:t>роз’ємів</w:t>
            </w:r>
            <w:proofErr w:type="spellEnd"/>
            <w:r w:rsidRPr="00D12AE9">
              <w:rPr>
                <w:sz w:val="20"/>
                <w:szCs w:val="20"/>
              </w:rPr>
              <w:t xml:space="preserve"> не менше 2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 xml:space="preserve">Бездротове з’єднання Wi-Fi 802.11ac, 2x2 та </w:t>
            </w:r>
            <w:proofErr w:type="spellStart"/>
            <w:r w:rsidRPr="00D12AE9">
              <w:rPr>
                <w:sz w:val="20"/>
                <w:szCs w:val="20"/>
              </w:rPr>
              <w:t>Bluetooth</w:t>
            </w:r>
            <w:proofErr w:type="spellEnd"/>
            <w:r w:rsidRPr="00D12AE9">
              <w:rPr>
                <w:sz w:val="20"/>
                <w:szCs w:val="20"/>
              </w:rPr>
              <w:t xml:space="preserve"> 5.0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Наявність Ethernet-LAN RJ-45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 xml:space="preserve">Клас енергоспоживання для SDR- не гірше </w:t>
            </w:r>
            <w:r w:rsidRPr="00D12AE9">
              <w:rPr>
                <w:color w:val="050505"/>
                <w:sz w:val="20"/>
                <w:szCs w:val="20"/>
                <w:shd w:val="clear" w:color="auto" w:fill="FFFFFF"/>
              </w:rPr>
              <w:t>F</w:t>
            </w:r>
          </w:p>
          <w:p w:rsidR="00D12AE9" w:rsidRPr="00D12AE9" w:rsidRDefault="00D12AE9" w:rsidP="00D12AE9">
            <w:pPr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Вага не більше 8.8  кг</w:t>
            </w:r>
          </w:p>
          <w:p w:rsidR="00D12AE9" w:rsidRPr="00D12AE9" w:rsidRDefault="00D12AE9" w:rsidP="00D12AE9">
            <w:pPr>
              <w:ind w:firstLine="34"/>
              <w:jc w:val="both"/>
              <w:rPr>
                <w:sz w:val="20"/>
                <w:szCs w:val="20"/>
              </w:rPr>
            </w:pPr>
            <w:r w:rsidRPr="00D12AE9">
              <w:rPr>
                <w:sz w:val="20"/>
                <w:szCs w:val="20"/>
              </w:rPr>
              <w:t>Ширина телевізора не більше  965  мм.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1.Технічні характеристики: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1.1.Товар повинен бути новим (таким, що не був у використанні). 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1.2. Всі основні  компоненти  товару повинні бути оригінальними, заміна компонентів на не неоригінальні забороняється.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1.3. Транспортні послуги та інші витрати (пакування, тощо) повинні здійснюватися за рахунок Учасника про, що надається гарантійний лист в складі тендерної пропозиції 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 Інформацію про відповідність запропонованого до поставки Товару технічним та якісним вимогам Замовника,  підтвердити шляхом надання під час проведення процедури (повинні бути завантажені в електронну систему до кінцевого строку подання тендерних пропозицій) закупівлі сканованих копій наступних документів: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2.1. Порівняльну таблицю відповідності запропонованого товару технічним вимогам Замовника (обов‘язково зазначається виробник та модель для можливості перевірки запропонованого обладнання технічним вимогам Замовника) 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2.2 Копію сертифікату експертизи типу (має бути виданий уповноваженою установою)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lastRenderedPageBreak/>
              <w:t xml:space="preserve">2.3 Копію декларації про відповідність Технічному регламенту щодо вимог до </w:t>
            </w:r>
            <w:proofErr w:type="spellStart"/>
            <w:r w:rsidRPr="00D12AE9">
              <w:rPr>
                <w:rFonts w:eastAsia="Calibri"/>
                <w:sz w:val="20"/>
                <w:szCs w:val="20"/>
                <w:lang w:eastAsia="uk-UA"/>
              </w:rPr>
              <w:t>екодизайну</w:t>
            </w:r>
            <w:proofErr w:type="spellEnd"/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 для телевізорів, затвердженого постановою Кабінету Міністрів України від 14 серпня 2019 р. № 7</w:t>
            </w:r>
          </w:p>
          <w:p w:rsidR="00D12AE9" w:rsidRPr="00D12AE9" w:rsidRDefault="00D12AE9" w:rsidP="00D12AE9">
            <w:pPr>
              <w:widowControl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2.4 Копію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декларації про відповідність 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>Технічному регламенту з електромагнітної сумісності обладнання</w:t>
            </w:r>
          </w:p>
          <w:p w:rsidR="00D12AE9" w:rsidRPr="00D12AE9" w:rsidRDefault="00D12AE9" w:rsidP="00D12AE9">
            <w:pPr>
              <w:widowControl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2.5 Копію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декларації про відповідність 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>Технічному регламенту низьковольтного електричного обладнання</w:t>
            </w:r>
          </w:p>
          <w:p w:rsidR="00D12AE9" w:rsidRPr="00D12AE9" w:rsidRDefault="00D12AE9" w:rsidP="00D12AE9">
            <w:pPr>
              <w:widowControl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2.6 </w:t>
            </w: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Висновок акредитованого органу з оцінки  відповідності за результатами експертизи рішень, прийнятих виробником з метою забезпечення відповідності продукції Технічному регламенту щодо вимог до </w:t>
            </w:r>
            <w:proofErr w:type="spellStart"/>
            <w:r w:rsidRPr="00D12AE9">
              <w:rPr>
                <w:rFonts w:eastAsia="Calibri"/>
                <w:sz w:val="20"/>
                <w:szCs w:val="20"/>
                <w:lang w:eastAsia="uk-UA"/>
              </w:rPr>
              <w:t>екодизайну</w:t>
            </w:r>
            <w:proofErr w:type="spellEnd"/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 для телевізорів, затвердженому постановою Кабінету Міністрів України від 14 серпня 2019 р. № 735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2.7 Копію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12AE9">
              <w:rPr>
                <w:rFonts w:eastAsia="Calibri"/>
                <w:sz w:val="20"/>
                <w:szCs w:val="20"/>
                <w:lang w:eastAsia="uk-UA"/>
              </w:rPr>
              <w:t xml:space="preserve">декларації про відповідність </w:t>
            </w:r>
            <w:r w:rsidRPr="00D12AE9">
              <w:rPr>
                <w:rFonts w:eastAsia="Calibri"/>
                <w:color w:val="000000"/>
                <w:sz w:val="20"/>
                <w:szCs w:val="20"/>
                <w:lang w:eastAsia="uk-UA"/>
              </w:rPr>
              <w:t>Технічному регламенту обмеження використання деяких небезпечних речовин в електричному та електронному обладнанні, затверджений постановою КМУ №139 від 10 березня 2017р.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0"/>
                <w:szCs w:val="20"/>
                <w:lang w:eastAsia="uk-UA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2.8. Гарантійний лист про надання гарантії на все обладнання строком не менше 12 місяців.</w:t>
            </w:r>
          </w:p>
          <w:p w:rsidR="00D12AE9" w:rsidRPr="00D12AE9" w:rsidRDefault="00D12AE9" w:rsidP="00D12AE9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D12AE9">
              <w:rPr>
                <w:rFonts w:eastAsia="Calibri"/>
                <w:sz w:val="20"/>
                <w:szCs w:val="20"/>
                <w:lang w:eastAsia="uk-UA"/>
              </w:rPr>
      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727" w:type="dxa"/>
          </w:tcPr>
          <w:p w:rsidR="000578D8" w:rsidRPr="000578D8" w:rsidRDefault="000578D8" w:rsidP="00DE0AC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="00D12AE9">
              <w:rPr>
                <w:b w:val="0"/>
                <w:spacing w:val="-57"/>
              </w:rPr>
              <w:t xml:space="preserve">      </w:t>
            </w:r>
            <w:r w:rsidR="00D12AE9">
              <w:rPr>
                <w:b w:val="0"/>
              </w:rPr>
              <w:t>31</w:t>
            </w:r>
            <w:r w:rsidR="00C265C8">
              <w:rPr>
                <w:b w:val="0"/>
              </w:rPr>
              <w:t>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746E6D" w:rsidRPr="000578D8" w:rsidRDefault="000578D8" w:rsidP="00D12AE9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DE0AC0">
              <w:rPr>
                <w:b w:val="0"/>
                <w:lang w:val="ru-RU"/>
              </w:rPr>
              <w:t>5</w:t>
            </w:r>
            <w:r w:rsidR="00D12AE9">
              <w:rPr>
                <w:b w:val="0"/>
                <w:lang w:val="ru-RU"/>
              </w:rPr>
              <w:t>60</w:t>
            </w:r>
            <w:r w:rsidR="00C265C8" w:rsidRPr="00C265C8">
              <w:rPr>
                <w:b w:val="0"/>
                <w:lang w:val="ru-RU"/>
              </w:rPr>
              <w:t xml:space="preserve"> 000,00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C265C8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C265C8">
              <w:rPr>
                <w:b w:val="0"/>
              </w:rPr>
              <w:t>).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7BB5"/>
    <w:multiLevelType w:val="hybridMultilevel"/>
    <w:tmpl w:val="C6BA7680"/>
    <w:lvl w:ilvl="0" w:tplc="98EC12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E61EF"/>
    <w:multiLevelType w:val="hybridMultilevel"/>
    <w:tmpl w:val="9EE65A3E"/>
    <w:lvl w:ilvl="0" w:tplc="8C9EED3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7D807396"/>
    <w:multiLevelType w:val="hybridMultilevel"/>
    <w:tmpl w:val="DEECB6F0"/>
    <w:lvl w:ilvl="0" w:tplc="953A3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158DE"/>
    <w:rsid w:val="000157A9"/>
    <w:rsid w:val="000578D8"/>
    <w:rsid w:val="001022E6"/>
    <w:rsid w:val="00190A32"/>
    <w:rsid w:val="001C15C3"/>
    <w:rsid w:val="001D0DA0"/>
    <w:rsid w:val="002F4DF0"/>
    <w:rsid w:val="003472F1"/>
    <w:rsid w:val="004A05BC"/>
    <w:rsid w:val="004D1A3E"/>
    <w:rsid w:val="005E4D5D"/>
    <w:rsid w:val="00616D70"/>
    <w:rsid w:val="007158DE"/>
    <w:rsid w:val="00746E6D"/>
    <w:rsid w:val="0081503D"/>
    <w:rsid w:val="0092486E"/>
    <w:rsid w:val="009B1A21"/>
    <w:rsid w:val="00A131D2"/>
    <w:rsid w:val="00AE0B61"/>
    <w:rsid w:val="00B933ED"/>
    <w:rsid w:val="00C265C8"/>
    <w:rsid w:val="00C75E67"/>
    <w:rsid w:val="00D07C2F"/>
    <w:rsid w:val="00D12AE9"/>
    <w:rsid w:val="00DE0AC0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uiPriority w:val="34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customStyle="1" w:styleId="2">
    <w:name w:val="Обычный2"/>
    <w:qFormat/>
    <w:rsid w:val="00616D70"/>
    <w:pPr>
      <w:widowControl/>
      <w:autoSpaceDE/>
      <w:autoSpaceDN/>
      <w:spacing w:after="200" w:line="275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20">
    <w:name w:val="Основной шрифт абзаца2"/>
    <w:rsid w:val="00616D70"/>
  </w:style>
  <w:style w:type="paragraph" w:customStyle="1" w:styleId="110">
    <w:name w:val="Обычный11"/>
    <w:rsid w:val="00616D70"/>
    <w:pPr>
      <w:widowControl/>
      <w:autoSpaceDE/>
      <w:autoSpaceDN/>
      <w:spacing w:line="276" w:lineRule="auto"/>
    </w:pPr>
    <w:rPr>
      <w:rFonts w:ascii="Arial" w:eastAsia="Calibri" w:hAnsi="Arial" w:cs="Arial"/>
      <w:color w:val="000000"/>
      <w:lang w:val="ru-RU" w:eastAsia="ru-RU"/>
    </w:rPr>
  </w:style>
  <w:style w:type="character" w:styleId="a6">
    <w:name w:val="Strong"/>
    <w:uiPriority w:val="22"/>
    <w:qFormat/>
    <w:rsid w:val="00DE0AC0"/>
    <w:rPr>
      <w:rFonts w:cs="Times New Roman"/>
      <w:b/>
      <w:bCs/>
    </w:rPr>
  </w:style>
  <w:style w:type="paragraph" w:customStyle="1" w:styleId="1">
    <w:name w:val="Абзац списка1"/>
    <w:basedOn w:val="a"/>
    <w:next w:val="a"/>
    <w:rsid w:val="001C15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eastAsia="uk-UA"/>
    </w:rPr>
  </w:style>
  <w:style w:type="paragraph" w:styleId="HTML">
    <w:name w:val="HTML Preformatted"/>
    <w:aliases w:val="Знак9"/>
    <w:basedOn w:val="a"/>
    <w:link w:val="HTML0"/>
    <w:qFormat/>
    <w:rsid w:val="001C1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aliases w:val="Знак9 Знак"/>
    <w:basedOn w:val="a0"/>
    <w:link w:val="HTML"/>
    <w:rsid w:val="001C15C3"/>
    <w:rPr>
      <w:rFonts w:ascii="Courier New" w:eastAsia="SimSu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2DA5-63DB-4A48-A17E-EFE5B7A7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3233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12</cp:revision>
  <dcterms:created xsi:type="dcterms:W3CDTF">2022-04-22T09:33:00Z</dcterms:created>
  <dcterms:modified xsi:type="dcterms:W3CDTF">2023-12-16T20:01:00Z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